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6.xml" ContentType="application/vnd.openxmlformats-officedocument.themeOverrid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theme/themeOverride7.xml" ContentType="application/vnd.openxmlformats-officedocument.themeOverrid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theme/themeOverride8.xml" ContentType="application/vnd.openxmlformats-officedocument.themeOverrid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theme/themeOverride9.xml" ContentType="application/vnd.openxmlformats-officedocument.themeOverrid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theme/themeOverride10.xml" ContentType="application/vnd.openxmlformats-officedocument.themeOverrid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theme/themeOverride11.xml" ContentType="application/vnd.openxmlformats-officedocument.themeOverrid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theme/themeOverride12.xml" ContentType="application/vnd.openxmlformats-officedocument.themeOverrid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theme/themeOverride13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C20" w:rsidRPr="00EB1E5E" w:rsidRDefault="00EB1E5E" w:rsidP="00EB1E5E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  <w:r w:rsidRPr="00EB1E5E">
        <w:rPr>
          <w:rFonts w:ascii="Century Gothic" w:hAnsi="Century Gothic"/>
          <w:b/>
          <w:sz w:val="28"/>
          <w:szCs w:val="28"/>
        </w:rPr>
        <w:t>Data Science Competency Training</w:t>
      </w:r>
    </w:p>
    <w:p w:rsidR="00EB1E5E" w:rsidRPr="00EB1E5E" w:rsidRDefault="00EB1E5E" w:rsidP="00EB1E5E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  <w:r w:rsidRPr="00EB1E5E">
        <w:rPr>
          <w:rFonts w:ascii="Century Gothic" w:hAnsi="Century Gothic"/>
          <w:b/>
          <w:sz w:val="28"/>
          <w:szCs w:val="28"/>
        </w:rPr>
        <w:t>Core Level Topic Assignment</w:t>
      </w:r>
    </w:p>
    <w:p w:rsidR="00EB1E5E" w:rsidRPr="00EB1E5E" w:rsidRDefault="00EB1E5E" w:rsidP="00EB1E5E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  <w:r w:rsidRPr="00EB1E5E">
        <w:rPr>
          <w:rFonts w:ascii="Century Gothic" w:hAnsi="Century Gothic"/>
          <w:b/>
          <w:sz w:val="28"/>
          <w:szCs w:val="28"/>
        </w:rPr>
        <w:t>EDA &amp; Visualisation</w:t>
      </w:r>
    </w:p>
    <w:p w:rsidR="00EB1E5E" w:rsidRDefault="00EB1E5E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EB1E5E" w:rsidRDefault="00EB1E5E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EB1E5E" w:rsidRPr="0001011A" w:rsidRDefault="00EB1E5E" w:rsidP="00EB1E5E">
      <w:pPr>
        <w:spacing w:after="0" w:line="240" w:lineRule="auto"/>
        <w:rPr>
          <w:rFonts w:ascii="Century Gothic" w:hAnsi="Century Gothic"/>
          <w:b/>
          <w:sz w:val="24"/>
          <w:szCs w:val="24"/>
        </w:rPr>
      </w:pPr>
      <w:r w:rsidRPr="0001011A">
        <w:rPr>
          <w:rFonts w:ascii="Century Gothic" w:hAnsi="Century Gothic"/>
          <w:b/>
          <w:sz w:val="24"/>
          <w:szCs w:val="24"/>
        </w:rPr>
        <w:t>Questions 1</w:t>
      </w:r>
    </w:p>
    <w:p w:rsidR="00EB1E5E" w:rsidRDefault="00EB1E5E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01011A" w:rsidRDefault="0001011A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EB1E5E" w:rsidRDefault="00F54D46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7DBDF6C1" wp14:editId="79ED67E0">
            <wp:extent cx="6188710" cy="3437890"/>
            <wp:effectExtent l="0" t="0" r="2540" b="1016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E5BC7E8-2A79-4FDC-873E-E3BD0F11BF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F54D46" w:rsidRDefault="00F54D46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01011A" w:rsidRDefault="0001011A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F54D46" w:rsidRDefault="007914BC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Singapore and </w:t>
      </w:r>
      <w:r w:rsidRPr="007914BC">
        <w:rPr>
          <w:rFonts w:ascii="Century Gothic" w:hAnsi="Century Gothic"/>
          <w:sz w:val="20"/>
          <w:szCs w:val="20"/>
        </w:rPr>
        <w:t>Philippines</w:t>
      </w:r>
      <w:r w:rsidR="0001011A">
        <w:rPr>
          <w:rFonts w:ascii="Century Gothic" w:hAnsi="Century Gothic"/>
          <w:sz w:val="20"/>
          <w:szCs w:val="20"/>
        </w:rPr>
        <w:t xml:space="preserve"> are ranked lower as compared to the other countries while Cambodia an</w:t>
      </w:r>
      <w:r w:rsidR="00710CE3">
        <w:rPr>
          <w:rFonts w:ascii="Century Gothic" w:hAnsi="Century Gothic"/>
          <w:sz w:val="20"/>
          <w:szCs w:val="20"/>
        </w:rPr>
        <w:t>d Thailand are ranked higher than</w:t>
      </w:r>
      <w:r w:rsidR="0001011A">
        <w:rPr>
          <w:rFonts w:ascii="Century Gothic" w:hAnsi="Century Gothic"/>
          <w:sz w:val="20"/>
          <w:szCs w:val="20"/>
        </w:rPr>
        <w:t xml:space="preserve"> other countries.</w:t>
      </w:r>
    </w:p>
    <w:p w:rsidR="0001011A" w:rsidRDefault="0001011A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01011A" w:rsidRDefault="0001011A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01011A" w:rsidRDefault="0001011A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:rsidR="0001011A" w:rsidRPr="0001011A" w:rsidRDefault="0001011A" w:rsidP="00EB1E5E">
      <w:pPr>
        <w:spacing w:after="0" w:line="240" w:lineRule="auto"/>
        <w:rPr>
          <w:rFonts w:ascii="Century Gothic" w:hAnsi="Century Gothic"/>
          <w:b/>
          <w:sz w:val="24"/>
          <w:szCs w:val="24"/>
        </w:rPr>
      </w:pPr>
      <w:r w:rsidRPr="0001011A">
        <w:rPr>
          <w:rFonts w:ascii="Century Gothic" w:hAnsi="Century Gothic"/>
          <w:b/>
          <w:sz w:val="24"/>
          <w:szCs w:val="24"/>
        </w:rPr>
        <w:lastRenderedPageBreak/>
        <w:t>Question 2</w:t>
      </w:r>
    </w:p>
    <w:p w:rsidR="0001011A" w:rsidRDefault="0001011A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01011A" w:rsidRDefault="0001011A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01011A" w:rsidRDefault="006512A3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3801F369" wp14:editId="134E449D">
            <wp:extent cx="6188710" cy="3437890"/>
            <wp:effectExtent l="0" t="0" r="2540" b="1016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4E5BC7E8-2A79-4FDC-873E-E3BD0F11BF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01011A" w:rsidRDefault="0001011A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01011A" w:rsidRDefault="0001011A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01011A" w:rsidRDefault="00F94E2D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Yes, they have high correlation and the correlation is positive.</w:t>
      </w:r>
    </w:p>
    <w:p w:rsidR="0001011A" w:rsidRDefault="0001011A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01011A" w:rsidRDefault="0001011A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F94E2D" w:rsidRDefault="00F94E2D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:rsidR="0001011A" w:rsidRPr="00F94E2D" w:rsidRDefault="00F94E2D" w:rsidP="00EB1E5E">
      <w:pPr>
        <w:spacing w:after="0" w:line="240" w:lineRule="auto"/>
        <w:rPr>
          <w:rFonts w:ascii="Century Gothic" w:hAnsi="Century Gothic"/>
          <w:b/>
          <w:sz w:val="24"/>
          <w:szCs w:val="24"/>
        </w:rPr>
      </w:pPr>
      <w:r w:rsidRPr="00F94E2D">
        <w:rPr>
          <w:rFonts w:ascii="Century Gothic" w:hAnsi="Century Gothic"/>
          <w:b/>
          <w:sz w:val="24"/>
          <w:szCs w:val="24"/>
        </w:rPr>
        <w:lastRenderedPageBreak/>
        <w:t>Question 3</w:t>
      </w:r>
    </w:p>
    <w:p w:rsidR="0001011A" w:rsidRDefault="0001011A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01011A" w:rsidRDefault="0001011A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01011A" w:rsidRDefault="00F5192E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00F2CEF9" wp14:editId="09CC4D51">
            <wp:extent cx="6188710" cy="3437890"/>
            <wp:effectExtent l="0" t="0" r="2540" b="1016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4E5BC7E8-2A79-4FDC-873E-E3BD0F11BF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F94E2D" w:rsidRDefault="00F94E2D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0D0386" w:rsidRDefault="000D0386" w:rsidP="000D0386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Domestic Market Size Index </w:t>
      </w:r>
      <w:r>
        <w:rPr>
          <w:rFonts w:ascii="Century Gothic" w:hAnsi="Century Gothic"/>
          <w:sz w:val="20"/>
          <w:szCs w:val="20"/>
        </w:rPr>
        <w:t xml:space="preserve">have </w:t>
      </w:r>
      <w:r>
        <w:rPr>
          <w:rFonts w:ascii="Century Gothic" w:hAnsi="Century Gothic"/>
          <w:sz w:val="20"/>
          <w:szCs w:val="20"/>
        </w:rPr>
        <w:t xml:space="preserve">dropped </w:t>
      </w:r>
      <w:r>
        <w:rPr>
          <w:rFonts w:ascii="Century Gothic" w:hAnsi="Century Gothic"/>
          <w:sz w:val="20"/>
          <w:szCs w:val="20"/>
        </w:rPr>
        <w:t xml:space="preserve">from Year 2006-2007 to </w:t>
      </w:r>
      <w:r>
        <w:rPr>
          <w:rFonts w:ascii="Century Gothic" w:hAnsi="Century Gothic"/>
          <w:sz w:val="20"/>
          <w:szCs w:val="20"/>
        </w:rPr>
        <w:t>Year 2008-2009 for most of the countries except for Malaysia and Singapore.</w:t>
      </w:r>
    </w:p>
    <w:p w:rsidR="00F94E2D" w:rsidRDefault="00F94E2D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0D0386" w:rsidRDefault="000D0386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F94E2D" w:rsidRDefault="00F5192E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563B09EC" wp14:editId="5A61AB6B">
            <wp:extent cx="6188710" cy="3437890"/>
            <wp:effectExtent l="0" t="0" r="2540" b="1016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4E5BC7E8-2A79-4FDC-873E-E3BD0F11BF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F94E2D" w:rsidRDefault="00F94E2D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0D0386" w:rsidRDefault="00F5192E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Foreign Market Size Index remained quite constant after Year 2009-2010 except for Cambodia and </w:t>
      </w:r>
      <w:r w:rsidRPr="00F5192E">
        <w:rPr>
          <w:rFonts w:ascii="Century Gothic" w:hAnsi="Century Gothic"/>
          <w:sz w:val="20"/>
          <w:szCs w:val="20"/>
        </w:rPr>
        <w:t>Vietnam</w:t>
      </w:r>
      <w:r>
        <w:rPr>
          <w:rFonts w:ascii="Century Gothic" w:hAnsi="Century Gothic"/>
          <w:sz w:val="20"/>
          <w:szCs w:val="20"/>
        </w:rPr>
        <w:t xml:space="preserve">. </w:t>
      </w:r>
    </w:p>
    <w:p w:rsidR="000D0386" w:rsidRDefault="000D0386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0D0386" w:rsidRDefault="000D0386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F94E2D" w:rsidRDefault="00F94E2D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:rsidR="00F94E2D" w:rsidRPr="009B2D8D" w:rsidRDefault="009B2D8D" w:rsidP="00EB1E5E">
      <w:pPr>
        <w:spacing w:after="0" w:line="240" w:lineRule="auto"/>
        <w:rPr>
          <w:rFonts w:ascii="Century Gothic" w:hAnsi="Century Gothic"/>
          <w:b/>
          <w:sz w:val="24"/>
          <w:szCs w:val="24"/>
        </w:rPr>
      </w:pPr>
      <w:r w:rsidRPr="009B2D8D">
        <w:rPr>
          <w:rFonts w:ascii="Century Gothic" w:hAnsi="Century Gothic"/>
          <w:b/>
          <w:sz w:val="24"/>
          <w:szCs w:val="24"/>
        </w:rPr>
        <w:lastRenderedPageBreak/>
        <w:t>Question 4</w:t>
      </w:r>
    </w:p>
    <w:p w:rsidR="00F94E2D" w:rsidRDefault="00F94E2D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F94E2D" w:rsidRDefault="00F94E2D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F94E2D" w:rsidRDefault="00543B43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1EAFEF47" wp14:editId="7C5A8549">
            <wp:extent cx="6188710" cy="3437890"/>
            <wp:effectExtent l="0" t="0" r="2540" b="10160"/>
            <wp:docPr id="18" name="Chart 18">
              <a:extLst xmlns:a="http://schemas.openxmlformats.org/drawingml/2006/main">
                <a:ext uri="{FF2B5EF4-FFF2-40B4-BE49-F238E27FC236}">
                  <a16:creationId xmlns:a16="http://schemas.microsoft.com/office/drawing/2014/main" id="{4E5BC7E8-2A79-4FDC-873E-E3BD0F11BF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F94E2D" w:rsidRDefault="00F94E2D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F94E2D" w:rsidRDefault="00F94E2D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F94E2D" w:rsidRDefault="00543B43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1F3B8C20" wp14:editId="1BE75FD5">
            <wp:extent cx="6188710" cy="3437890"/>
            <wp:effectExtent l="0" t="0" r="2540" b="10160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4E5BC7E8-2A79-4FDC-873E-E3BD0F11BF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F94E2D" w:rsidRDefault="00F94E2D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F94E2D" w:rsidRDefault="00543B43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There is no correlation between Quality of the education system and GDP per capita. There is no impact to the GDP per capita by the Quality of the education system.</w:t>
      </w:r>
    </w:p>
    <w:p w:rsidR="00F94E2D" w:rsidRDefault="00F94E2D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F94E2D" w:rsidRDefault="00F94E2D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424042" w:rsidRDefault="00424042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:rsidR="00F94E2D" w:rsidRPr="003228F9" w:rsidRDefault="003228F9" w:rsidP="00EB1E5E">
      <w:pPr>
        <w:spacing w:after="0" w:line="240" w:lineRule="auto"/>
        <w:rPr>
          <w:rFonts w:ascii="Century Gothic" w:hAnsi="Century Gothic"/>
          <w:b/>
          <w:sz w:val="24"/>
          <w:szCs w:val="24"/>
        </w:rPr>
      </w:pPr>
      <w:r w:rsidRPr="003228F9">
        <w:rPr>
          <w:rFonts w:ascii="Century Gothic" w:hAnsi="Century Gothic"/>
          <w:b/>
          <w:sz w:val="24"/>
          <w:szCs w:val="24"/>
        </w:rPr>
        <w:lastRenderedPageBreak/>
        <w:t>Question 5</w:t>
      </w:r>
    </w:p>
    <w:p w:rsidR="00424042" w:rsidRDefault="00424042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424042" w:rsidRDefault="00855385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12AAF77E" wp14:editId="328B3463">
            <wp:extent cx="6188710" cy="3437890"/>
            <wp:effectExtent l="0" t="0" r="2540" b="10160"/>
            <wp:docPr id="20" name="Chart 20">
              <a:extLst xmlns:a="http://schemas.openxmlformats.org/drawingml/2006/main">
                <a:ext uri="{FF2B5EF4-FFF2-40B4-BE49-F238E27FC236}">
                  <a16:creationId xmlns:a16="http://schemas.microsoft.com/office/drawing/2014/main" id="{4E5BC7E8-2A79-4FDC-873E-E3BD0F11BF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424042" w:rsidRDefault="00424042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855385" w:rsidRDefault="00855385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424042" w:rsidRDefault="00855385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01352588" wp14:editId="3ECB4AFE">
            <wp:extent cx="6188710" cy="3437890"/>
            <wp:effectExtent l="0" t="0" r="2540" b="1016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4E5BC7E8-2A79-4FDC-873E-E3BD0F11BF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424042" w:rsidRDefault="00424042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424042" w:rsidRDefault="00424042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424042" w:rsidRDefault="00424042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:rsidR="00424042" w:rsidRDefault="00855385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A0D0D5" wp14:editId="6B952FB3">
            <wp:extent cx="6188710" cy="3437890"/>
            <wp:effectExtent l="0" t="0" r="2540" b="10160"/>
            <wp:docPr id="22" name="Chart 22">
              <a:extLst xmlns:a="http://schemas.openxmlformats.org/drawingml/2006/main">
                <a:ext uri="{FF2B5EF4-FFF2-40B4-BE49-F238E27FC236}">
                  <a16:creationId xmlns:a16="http://schemas.microsoft.com/office/drawing/2014/main" id="{4E5BC7E8-2A79-4FDC-873E-E3BD0F11BF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424042" w:rsidRDefault="00424042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424042" w:rsidRDefault="00424042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424042" w:rsidRDefault="00855385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43C7AB03" wp14:editId="5611A163">
            <wp:extent cx="6188710" cy="3437890"/>
            <wp:effectExtent l="0" t="0" r="2540" b="10160"/>
            <wp:docPr id="23" name="Chart 23">
              <a:extLst xmlns:a="http://schemas.openxmlformats.org/drawingml/2006/main">
                <a:ext uri="{FF2B5EF4-FFF2-40B4-BE49-F238E27FC236}">
                  <a16:creationId xmlns:a16="http://schemas.microsoft.com/office/drawing/2014/main" id="{4E5BC7E8-2A79-4FDC-873E-E3BD0F11BF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424042" w:rsidRDefault="00424042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424042" w:rsidRDefault="00424042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855385" w:rsidRDefault="00855385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:rsidR="00424042" w:rsidRDefault="00855385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56A0EA5" wp14:editId="2CE5775C">
            <wp:extent cx="6188710" cy="3437890"/>
            <wp:effectExtent l="0" t="0" r="2540" b="10160"/>
            <wp:docPr id="24" name="Chart 24">
              <a:extLst xmlns:a="http://schemas.openxmlformats.org/drawingml/2006/main">
                <a:ext uri="{FF2B5EF4-FFF2-40B4-BE49-F238E27FC236}">
                  <a16:creationId xmlns:a16="http://schemas.microsoft.com/office/drawing/2014/main" id="{4E5BC7E8-2A79-4FDC-873E-E3BD0F11BF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424042" w:rsidRDefault="00424042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424042" w:rsidRDefault="00424042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424042" w:rsidRDefault="00855385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43C16480" wp14:editId="31DCE688">
            <wp:extent cx="6188710" cy="3437890"/>
            <wp:effectExtent l="0" t="0" r="2540" b="10160"/>
            <wp:docPr id="25" name="Chart 25">
              <a:extLst xmlns:a="http://schemas.openxmlformats.org/drawingml/2006/main">
                <a:ext uri="{FF2B5EF4-FFF2-40B4-BE49-F238E27FC236}">
                  <a16:creationId xmlns:a16="http://schemas.microsoft.com/office/drawing/2014/main" id="{4E5BC7E8-2A79-4FDC-873E-E3BD0F11BF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855385" w:rsidRDefault="00855385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855385" w:rsidRDefault="00855385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855385" w:rsidRDefault="00855385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:rsidR="00855385" w:rsidRDefault="00855385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76ADED8" wp14:editId="36250313">
            <wp:extent cx="6188710" cy="3437890"/>
            <wp:effectExtent l="0" t="0" r="2540" b="10160"/>
            <wp:docPr id="26" name="Chart 26">
              <a:extLst xmlns:a="http://schemas.openxmlformats.org/drawingml/2006/main">
                <a:ext uri="{FF2B5EF4-FFF2-40B4-BE49-F238E27FC236}">
                  <a16:creationId xmlns:a16="http://schemas.microsoft.com/office/drawing/2014/main" id="{4E5BC7E8-2A79-4FDC-873E-E3BD0F11BF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855385" w:rsidRDefault="00855385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855385" w:rsidRDefault="00855385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855385" w:rsidRDefault="00215ED6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The Inflation and Soundness of banks do not affect the GDP per capita.</w:t>
      </w:r>
      <w:bookmarkStart w:id="0" w:name="_GoBack"/>
      <w:bookmarkEnd w:id="0"/>
    </w:p>
    <w:p w:rsidR="00855385" w:rsidRPr="00EB1E5E" w:rsidRDefault="00855385" w:rsidP="00EB1E5E">
      <w:pPr>
        <w:spacing w:after="0" w:line="240" w:lineRule="auto"/>
        <w:rPr>
          <w:rFonts w:ascii="Century Gothic" w:hAnsi="Century Gothic"/>
          <w:sz w:val="20"/>
          <w:szCs w:val="20"/>
        </w:rPr>
      </w:pPr>
    </w:p>
    <w:sectPr w:rsidR="00855385" w:rsidRPr="00EB1E5E" w:rsidSect="00EB1E5E">
      <w:pgSz w:w="11906" w:h="16838"/>
      <w:pgMar w:top="1080" w:right="1080" w:bottom="1080" w:left="108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E5E"/>
    <w:rsid w:val="0001011A"/>
    <w:rsid w:val="000A3488"/>
    <w:rsid w:val="000D0386"/>
    <w:rsid w:val="00215ED6"/>
    <w:rsid w:val="003228F9"/>
    <w:rsid w:val="00424042"/>
    <w:rsid w:val="00543B43"/>
    <w:rsid w:val="006512A3"/>
    <w:rsid w:val="00710CE3"/>
    <w:rsid w:val="007914BC"/>
    <w:rsid w:val="007A4C20"/>
    <w:rsid w:val="00855385"/>
    <w:rsid w:val="008C6764"/>
    <w:rsid w:val="008F4B8E"/>
    <w:rsid w:val="00902AAD"/>
    <w:rsid w:val="009B2D8D"/>
    <w:rsid w:val="009C580F"/>
    <w:rsid w:val="00A80AF7"/>
    <w:rsid w:val="00BD1D62"/>
    <w:rsid w:val="00CC4780"/>
    <w:rsid w:val="00EB1E5E"/>
    <w:rsid w:val="00F403A6"/>
    <w:rsid w:val="00F5192E"/>
    <w:rsid w:val="00F54D46"/>
    <w:rsid w:val="00F94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47049"/>
  <w15:chartTrackingRefBased/>
  <w15:docId w15:val="{A27B9CA9-61EE-481C-A818-6824EC8C9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5.xml"/><Relationship Id="rId13" Type="http://schemas.openxmlformats.org/officeDocument/2006/relationships/chart" Target="charts/chart10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chart" Target="charts/chart4.xml"/><Relationship Id="rId12" Type="http://schemas.openxmlformats.org/officeDocument/2006/relationships/chart" Target="charts/chart9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hart" Target="charts/chart13.xml"/><Relationship Id="rId1" Type="http://schemas.openxmlformats.org/officeDocument/2006/relationships/styles" Target="styles.xml"/><Relationship Id="rId6" Type="http://schemas.openxmlformats.org/officeDocument/2006/relationships/chart" Target="charts/chart3.xml"/><Relationship Id="rId11" Type="http://schemas.openxmlformats.org/officeDocument/2006/relationships/chart" Target="charts/chart8.xml"/><Relationship Id="rId5" Type="http://schemas.openxmlformats.org/officeDocument/2006/relationships/chart" Target="charts/chart2.xml"/><Relationship Id="rId15" Type="http://schemas.openxmlformats.org/officeDocument/2006/relationships/chart" Target="charts/chart12.xml"/><Relationship Id="rId10" Type="http://schemas.openxmlformats.org/officeDocument/2006/relationships/chart" Target="charts/chart7.xml"/><Relationship Id="rId4" Type="http://schemas.openxmlformats.org/officeDocument/2006/relationships/chart" Target="charts/chart1.xml"/><Relationship Id="rId9" Type="http://schemas.openxmlformats.org/officeDocument/2006/relationships/chart" Target="charts/chart6.xml"/><Relationship Id="rId14" Type="http://schemas.openxmlformats.org/officeDocument/2006/relationships/chart" Target="charts/chart1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0.xml"/><Relationship Id="rId2" Type="http://schemas.microsoft.com/office/2011/relationships/chartColorStyle" Target="colors10.xml"/><Relationship Id="rId1" Type="http://schemas.microsoft.com/office/2011/relationships/chartStyle" Target="style10.xml"/><Relationship Id="rId4" Type="http://schemas.openxmlformats.org/officeDocument/2006/relationships/package" Target="../embeddings/Microsoft_Excel_Worksheet9.xlsx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1.xml"/><Relationship Id="rId2" Type="http://schemas.microsoft.com/office/2011/relationships/chartColorStyle" Target="colors11.xml"/><Relationship Id="rId1" Type="http://schemas.microsoft.com/office/2011/relationships/chartStyle" Target="style11.xml"/><Relationship Id="rId4" Type="http://schemas.openxmlformats.org/officeDocument/2006/relationships/package" Target="../embeddings/Microsoft_Excel_Worksheet10.xlsx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2.xml"/><Relationship Id="rId2" Type="http://schemas.microsoft.com/office/2011/relationships/chartColorStyle" Target="colors12.xml"/><Relationship Id="rId1" Type="http://schemas.microsoft.com/office/2011/relationships/chartStyle" Target="style12.xml"/><Relationship Id="rId4" Type="http://schemas.openxmlformats.org/officeDocument/2006/relationships/package" Target="../embeddings/Microsoft_Excel_Worksheet11.xlsx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3.xml"/><Relationship Id="rId2" Type="http://schemas.microsoft.com/office/2011/relationships/chartColorStyle" Target="colors13.xml"/><Relationship Id="rId1" Type="http://schemas.microsoft.com/office/2011/relationships/chartStyle" Target="style13.xml"/><Relationship Id="rId4" Type="http://schemas.openxmlformats.org/officeDocument/2006/relationships/package" Target="../embeddings/Microsoft_Excel_Worksheet12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package" Target="../embeddings/Microsoft_Excel_Worksheet5.xlsx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7.xml"/><Relationship Id="rId2" Type="http://schemas.microsoft.com/office/2011/relationships/chartColorStyle" Target="colors7.xml"/><Relationship Id="rId1" Type="http://schemas.microsoft.com/office/2011/relationships/chartStyle" Target="style7.xml"/><Relationship Id="rId4" Type="http://schemas.openxmlformats.org/officeDocument/2006/relationships/package" Target="../embeddings/Microsoft_Excel_Worksheet6.xlsx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8.xm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package" Target="../embeddings/Microsoft_Excel_Worksheet7.xlsx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9.xml"/><Relationship Id="rId2" Type="http://schemas.microsoft.com/office/2011/relationships/chartColorStyle" Target="colors9.xml"/><Relationship Id="rId1" Type="http://schemas.microsoft.com/office/2011/relationships/chartStyle" Target="style9.xml"/><Relationship Id="rId4" Type="http://schemas.openxmlformats.org/officeDocument/2006/relationships/package" Target="../embeddings/Microsoft_Excel_Worksheet8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[Assignment_2.xlsx]Sheet2!PivotTable1</c:name>
    <c:fmtId val="-1"/>
  </c:pivotSource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</c:pivotFmts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Sheet2!$B$4:$B$5</c:f>
              <c:strCache>
                <c:ptCount val="1"/>
                <c:pt idx="0">
                  <c:v>Rank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Sheet2!$A$6:$A$12</c:f>
              <c:strCache>
                <c:ptCount val="7"/>
                <c:pt idx="0">
                  <c:v> THA</c:v>
                </c:pt>
                <c:pt idx="1">
                  <c:v> KHM</c:v>
                </c:pt>
                <c:pt idx="2">
                  <c:v> IDN</c:v>
                </c:pt>
                <c:pt idx="3">
                  <c:v> MYS</c:v>
                </c:pt>
                <c:pt idx="4">
                  <c:v> VNM</c:v>
                </c:pt>
                <c:pt idx="5">
                  <c:v> PHL</c:v>
                </c:pt>
                <c:pt idx="6">
                  <c:v> SGP</c:v>
                </c:pt>
              </c:strCache>
            </c:strRef>
          </c:cat>
          <c:val>
            <c:numRef>
              <c:f>Sheet2!$B$6:$B$12</c:f>
              <c:numCache>
                <c:formatCode>General</c:formatCode>
                <c:ptCount val="7"/>
                <c:pt idx="0">
                  <c:v>110</c:v>
                </c:pt>
                <c:pt idx="1">
                  <c:v>104</c:v>
                </c:pt>
                <c:pt idx="2">
                  <c:v>75</c:v>
                </c:pt>
                <c:pt idx="3">
                  <c:v>75</c:v>
                </c:pt>
                <c:pt idx="4">
                  <c:v>75</c:v>
                </c:pt>
                <c:pt idx="5">
                  <c:v>1</c:v>
                </c:pt>
                <c:pt idx="6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05-4D6D-BCF1-68A47F710B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563600559"/>
        <c:axId val="680487087"/>
      </c:barChart>
      <c:catAx>
        <c:axId val="563600559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487087"/>
        <c:crosses val="autoZero"/>
        <c:auto val="1"/>
        <c:lblAlgn val="ctr"/>
        <c:lblOffset val="100"/>
        <c:noMultiLvlLbl val="0"/>
      </c:catAx>
      <c:valAx>
        <c:axId val="6804870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6005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[Assignment_2.xlsx]Sheet2!PivotTable1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SG" sz="1400" b="0" i="0" u="none" strike="noStrike" baseline="0">
                <a:effectLst/>
              </a:rPr>
              <a:t>Philippines</a:t>
            </a:r>
            <a:endParaRPr lang="en-SG"/>
          </a:p>
        </c:rich>
      </c:tx>
      <c:layout>
        <c:manualLayout>
          <c:xMode val="edge"/>
          <c:yMode val="edge"/>
          <c:x val="0.44508870418975405"/>
          <c:y val="4.3307086614173228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0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1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</c:pivotFmts>
    <c:plotArea>
      <c:layout>
        <c:manualLayout>
          <c:layoutTarget val="inner"/>
          <c:xMode val="edge"/>
          <c:yMode val="edge"/>
          <c:x val="2.9952367065227959E-2"/>
          <c:y val="6.821959755030621E-2"/>
          <c:w val="0.95307232429279676"/>
          <c:h val="0.77481430446194233"/>
        </c:manualLayout>
      </c:layout>
      <c:lineChart>
        <c:grouping val="standard"/>
        <c:varyColors val="0"/>
        <c:ser>
          <c:idx val="0"/>
          <c:order val="0"/>
          <c:tx>
            <c:strRef>
              <c:f>Sheet2!$B$4:$B$5</c:f>
              <c:strCache>
                <c:ptCount val="1"/>
                <c:pt idx="0">
                  <c:v>3.03 Inflation, annual % change*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Sheet2!$B$6:$B$15</c:f>
              <c:numCache>
                <c:formatCode>General</c:formatCode>
                <c:ptCount val="9"/>
                <c:pt idx="0">
                  <c:v>7.6</c:v>
                </c:pt>
                <c:pt idx="1">
                  <c:v>6.2</c:v>
                </c:pt>
                <c:pt idx="2">
                  <c:v>2.7730000000000001</c:v>
                </c:pt>
                <c:pt idx="3">
                  <c:v>9.2989999999999995</c:v>
                </c:pt>
                <c:pt idx="4">
                  <c:v>3.2490000000000001</c:v>
                </c:pt>
                <c:pt idx="5">
                  <c:v>3.7970000000000002</c:v>
                </c:pt>
                <c:pt idx="6">
                  <c:v>4.7610000000000001</c:v>
                </c:pt>
                <c:pt idx="7">
                  <c:v>3.1320000000000001</c:v>
                </c:pt>
                <c:pt idx="8">
                  <c:v>2.9329999999999998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C52-4DD6-A9FC-23C220D7AAB7}"/>
            </c:ext>
          </c:extLst>
        </c:ser>
        <c:ser>
          <c:idx val="1"/>
          <c:order val="1"/>
          <c:tx>
            <c:strRef>
              <c:f>Sheet2!$C$4:$C$5</c:f>
              <c:strCache>
                <c:ptCount val="1"/>
                <c:pt idx="0">
                  <c:v>8.06 Soundness of banks, 1-7 (best)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Sheet2!$C$6:$C$15</c:f>
              <c:numCache>
                <c:formatCode>General</c:formatCode>
                <c:ptCount val="9"/>
                <c:pt idx="0">
                  <c:v>5.1217451550000002</c:v>
                </c:pt>
                <c:pt idx="1">
                  <c:v>5.3387207209999996</c:v>
                </c:pt>
                <c:pt idx="2">
                  <c:v>5.5533150969999996</c:v>
                </c:pt>
                <c:pt idx="3">
                  <c:v>5.409657911</c:v>
                </c:pt>
                <c:pt idx="4">
                  <c:v>5.5665355840000004</c:v>
                </c:pt>
                <c:pt idx="5">
                  <c:v>5.572866726</c:v>
                </c:pt>
                <c:pt idx="6">
                  <c:v>5.6585667070000003</c:v>
                </c:pt>
                <c:pt idx="7">
                  <c:v>5.7189735429999997</c:v>
                </c:pt>
                <c:pt idx="8">
                  <c:v>5.529789783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C52-4DD6-A9FC-23C220D7AAB7}"/>
            </c:ext>
          </c:extLst>
        </c:ser>
        <c:ser>
          <c:idx val="2"/>
          <c:order val="2"/>
          <c:tx>
            <c:strRef>
              <c:f>Sheet2!$D$4:$D$5</c:f>
              <c:strCache>
                <c:ptCount val="1"/>
                <c:pt idx="0">
                  <c:v>GDP per capita (US$)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Sheet2!$D$6:$D$15</c:f>
              <c:numCache>
                <c:formatCode>General</c:formatCode>
                <c:ptCount val="9"/>
                <c:pt idx="2">
                  <c:v>1624.6849999999999</c:v>
                </c:pt>
                <c:pt idx="3">
                  <c:v>1865.951</c:v>
                </c:pt>
                <c:pt idx="4">
                  <c:v>1745.598</c:v>
                </c:pt>
                <c:pt idx="5">
                  <c:v>2007.3620000000001</c:v>
                </c:pt>
                <c:pt idx="6">
                  <c:v>2223.4360000000001</c:v>
                </c:pt>
                <c:pt idx="7">
                  <c:v>2614.1559999999999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C52-4DD6-A9FC-23C220D7AA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3600559"/>
        <c:axId val="680487087"/>
      </c:lineChart>
      <c:catAx>
        <c:axId val="563600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487087"/>
        <c:crosses val="autoZero"/>
        <c:auto val="1"/>
        <c:lblAlgn val="ctr"/>
        <c:lblOffset val="100"/>
        <c:noMultiLvlLbl val="0"/>
      </c:catAx>
      <c:valAx>
        <c:axId val="680487087"/>
        <c:scaling>
          <c:logBase val="2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6005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265201224846895"/>
          <c:y val="0.91025131233595791"/>
          <c:w val="0.73558581219014285"/>
          <c:h val="8.7235126859142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[Assignment_2.xlsx]Sheet2!PivotTable1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SG" sz="1400" b="0" i="0" u="none" strike="noStrike" baseline="0">
                <a:effectLst/>
              </a:rPr>
              <a:t>Singapore</a:t>
            </a:r>
            <a:endParaRPr lang="en-SG"/>
          </a:p>
        </c:rich>
      </c:tx>
      <c:layout>
        <c:manualLayout>
          <c:xMode val="edge"/>
          <c:yMode val="edge"/>
          <c:x val="0.45126154369592691"/>
          <c:y val="4.3307086614173228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0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1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</c:pivotFmts>
    <c:plotArea>
      <c:layout>
        <c:manualLayout>
          <c:layoutTarget val="inner"/>
          <c:xMode val="edge"/>
          <c:yMode val="edge"/>
          <c:x val="2.9952367065227959E-2"/>
          <c:y val="6.821959755030621E-2"/>
          <c:w val="0.95307232429279676"/>
          <c:h val="0.77481430446194233"/>
        </c:manualLayout>
      </c:layout>
      <c:lineChart>
        <c:grouping val="standard"/>
        <c:varyColors val="0"/>
        <c:ser>
          <c:idx val="0"/>
          <c:order val="0"/>
          <c:tx>
            <c:strRef>
              <c:f>Sheet2!$B$4:$B$5</c:f>
              <c:strCache>
                <c:ptCount val="1"/>
                <c:pt idx="0">
                  <c:v>3.03 Inflation, annual % change*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Sheet2!$B$6:$B$15</c:f>
              <c:numCache>
                <c:formatCode>General</c:formatCode>
                <c:ptCount val="9"/>
                <c:pt idx="0">
                  <c:v>0.5</c:v>
                </c:pt>
                <c:pt idx="1">
                  <c:v>1</c:v>
                </c:pt>
                <c:pt idx="2">
                  <c:v>2.0960000000000001</c:v>
                </c:pt>
                <c:pt idx="3">
                  <c:v>6.5140000000000002</c:v>
                </c:pt>
                <c:pt idx="4">
                  <c:v>0.21099999999999999</c:v>
                </c:pt>
                <c:pt idx="5">
                  <c:v>2.823</c:v>
                </c:pt>
                <c:pt idx="6">
                  <c:v>5.2480000000000002</c:v>
                </c:pt>
                <c:pt idx="7">
                  <c:v>4.5750000000000002</c:v>
                </c:pt>
                <c:pt idx="8">
                  <c:v>2.359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C61-4FCA-905D-DE24BA6A6187}"/>
            </c:ext>
          </c:extLst>
        </c:ser>
        <c:ser>
          <c:idx val="1"/>
          <c:order val="1"/>
          <c:tx>
            <c:strRef>
              <c:f>Sheet2!$C$4:$C$5</c:f>
              <c:strCache>
                <c:ptCount val="1"/>
                <c:pt idx="0">
                  <c:v>8.06 Soundness of banks, 1-7 (best)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Sheet2!$C$6:$C$15</c:f>
              <c:numCache>
                <c:formatCode>General</c:formatCode>
                <c:ptCount val="9"/>
                <c:pt idx="0">
                  <c:v>6.463964753</c:v>
                </c:pt>
                <c:pt idx="1">
                  <c:v>6.5413088970000004</c:v>
                </c:pt>
                <c:pt idx="2">
                  <c:v>6.548167995</c:v>
                </c:pt>
                <c:pt idx="3">
                  <c:v>6.3169193139999997</c:v>
                </c:pt>
                <c:pt idx="4">
                  <c:v>6.3110453350000002</c:v>
                </c:pt>
                <c:pt idx="5">
                  <c:v>6.5122458769999998</c:v>
                </c:pt>
                <c:pt idx="6">
                  <c:v>6.4870441999999997</c:v>
                </c:pt>
                <c:pt idx="7">
                  <c:v>6.5085908039999998</c:v>
                </c:pt>
                <c:pt idx="8">
                  <c:v>6.5587888679999997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C61-4FCA-905D-DE24BA6A6187}"/>
            </c:ext>
          </c:extLst>
        </c:ser>
        <c:ser>
          <c:idx val="2"/>
          <c:order val="2"/>
          <c:tx>
            <c:strRef>
              <c:f>Sheet2!$D$4:$D$5</c:f>
              <c:strCache>
                <c:ptCount val="1"/>
                <c:pt idx="0">
                  <c:v>GDP per capita (US$)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Sheet2!$D$6:$D$15</c:f>
              <c:numCache>
                <c:formatCode>General</c:formatCode>
                <c:ptCount val="9"/>
                <c:pt idx="2">
                  <c:v>35162.934000000001</c:v>
                </c:pt>
                <c:pt idx="3">
                  <c:v>38972.125999999997</c:v>
                </c:pt>
                <c:pt idx="4">
                  <c:v>37293.417000000001</c:v>
                </c:pt>
                <c:pt idx="5">
                  <c:v>43116.688999999998</c:v>
                </c:pt>
                <c:pt idx="6">
                  <c:v>49270.872000000003</c:v>
                </c:pt>
                <c:pt idx="7">
                  <c:v>51161.597000000002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C61-4FCA-905D-DE24BA6A61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3600559"/>
        <c:axId val="680487087"/>
      </c:lineChart>
      <c:catAx>
        <c:axId val="563600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487087"/>
        <c:crosses val="autoZero"/>
        <c:auto val="1"/>
        <c:lblAlgn val="ctr"/>
        <c:lblOffset val="100"/>
        <c:noMultiLvlLbl val="0"/>
      </c:catAx>
      <c:valAx>
        <c:axId val="680487087"/>
        <c:scaling>
          <c:logBase val="2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6005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265201224846895"/>
          <c:y val="0.91025131233595791"/>
          <c:w val="0.73558581219014285"/>
          <c:h val="8.7235126859142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[Assignment_2.xlsx]Sheet2!PivotTable1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SG" sz="1400" b="0" i="0" u="none" strike="noStrike" baseline="0">
                <a:effectLst/>
              </a:rPr>
              <a:t>Thailand</a:t>
            </a:r>
            <a:endParaRPr lang="en-SG"/>
          </a:p>
        </c:rich>
      </c:tx>
      <c:layout>
        <c:manualLayout>
          <c:xMode val="edge"/>
          <c:yMode val="edge"/>
          <c:x val="0.45589117332555651"/>
          <c:y val="4.3307086614173228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0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1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</c:pivotFmts>
    <c:plotArea>
      <c:layout>
        <c:manualLayout>
          <c:layoutTarget val="inner"/>
          <c:xMode val="edge"/>
          <c:yMode val="edge"/>
          <c:x val="2.9952367065227959E-2"/>
          <c:y val="6.821959755030621E-2"/>
          <c:w val="0.95307232429279676"/>
          <c:h val="0.77481430446194233"/>
        </c:manualLayout>
      </c:layout>
      <c:lineChart>
        <c:grouping val="standard"/>
        <c:varyColors val="0"/>
        <c:ser>
          <c:idx val="0"/>
          <c:order val="0"/>
          <c:tx>
            <c:strRef>
              <c:f>Sheet2!$B$4:$B$5</c:f>
              <c:strCache>
                <c:ptCount val="1"/>
                <c:pt idx="0">
                  <c:v>3.03 Inflation, annual % change*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Sheet2!$B$6:$B$15</c:f>
              <c:numCache>
                <c:formatCode>General</c:formatCode>
                <c:ptCount val="9"/>
                <c:pt idx="0">
                  <c:v>4.5</c:v>
                </c:pt>
                <c:pt idx="1">
                  <c:v>4.5999999999999996</c:v>
                </c:pt>
                <c:pt idx="2">
                  <c:v>2.2290000000000001</c:v>
                </c:pt>
                <c:pt idx="3">
                  <c:v>5.468</c:v>
                </c:pt>
                <c:pt idx="4">
                  <c:v>-0.84599999999999997</c:v>
                </c:pt>
                <c:pt idx="5">
                  <c:v>3.2719999999999998</c:v>
                </c:pt>
                <c:pt idx="6">
                  <c:v>3.8069999999999999</c:v>
                </c:pt>
                <c:pt idx="7">
                  <c:v>3.0150000000000001</c:v>
                </c:pt>
                <c:pt idx="8">
                  <c:v>2.1850000000000001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E05-4A3C-994C-DEF6CAEF9C09}"/>
            </c:ext>
          </c:extLst>
        </c:ser>
        <c:ser>
          <c:idx val="1"/>
          <c:order val="1"/>
          <c:tx>
            <c:strRef>
              <c:f>Sheet2!$C$4:$C$5</c:f>
              <c:strCache>
                <c:ptCount val="1"/>
                <c:pt idx="0">
                  <c:v>8.06 Soundness of banks, 1-7 (best)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Sheet2!$C$6:$C$15</c:f>
              <c:numCache>
                <c:formatCode>General</c:formatCode>
                <c:ptCount val="9"/>
                <c:pt idx="0">
                  <c:v>5.2164898989999999</c:v>
                </c:pt>
                <c:pt idx="1">
                  <c:v>5.4745555560000003</c:v>
                </c:pt>
                <c:pt idx="2">
                  <c:v>5.5152735990000004</c:v>
                </c:pt>
                <c:pt idx="3">
                  <c:v>5.6032786239999997</c:v>
                </c:pt>
                <c:pt idx="4">
                  <c:v>5.7307449659999996</c:v>
                </c:pt>
                <c:pt idx="5">
                  <c:v>5.6198289849999998</c:v>
                </c:pt>
                <c:pt idx="6">
                  <c:v>5.6306547079999998</c:v>
                </c:pt>
                <c:pt idx="7">
                  <c:v>5.6940190279999996</c:v>
                </c:pt>
                <c:pt idx="8">
                  <c:v>5.6967666929999998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E05-4A3C-994C-DEF6CAEF9C09}"/>
            </c:ext>
          </c:extLst>
        </c:ser>
        <c:ser>
          <c:idx val="2"/>
          <c:order val="2"/>
          <c:tx>
            <c:strRef>
              <c:f>Sheet2!$D$4:$D$5</c:f>
              <c:strCache>
                <c:ptCount val="1"/>
                <c:pt idx="0">
                  <c:v>GDP per capita (US$)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Sheet2!$D$6:$D$15</c:f>
              <c:numCache>
                <c:formatCode>General</c:formatCode>
                <c:ptCount val="9"/>
                <c:pt idx="2">
                  <c:v>3736.8240000000001</c:v>
                </c:pt>
                <c:pt idx="3">
                  <c:v>4115.3320000000003</c:v>
                </c:pt>
                <c:pt idx="4">
                  <c:v>3939.6260000000002</c:v>
                </c:pt>
                <c:pt idx="5">
                  <c:v>4991.5249999999996</c:v>
                </c:pt>
                <c:pt idx="6">
                  <c:v>5394.3620000000001</c:v>
                </c:pt>
                <c:pt idx="7">
                  <c:v>5678.4769999999999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E05-4A3C-994C-DEF6CAEF9C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3600559"/>
        <c:axId val="680487087"/>
      </c:lineChart>
      <c:catAx>
        <c:axId val="563600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487087"/>
        <c:crosses val="autoZero"/>
        <c:auto val="1"/>
        <c:lblAlgn val="ctr"/>
        <c:lblOffset val="100"/>
        <c:noMultiLvlLbl val="0"/>
      </c:catAx>
      <c:valAx>
        <c:axId val="680487087"/>
        <c:scaling>
          <c:logBase val="2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6005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265201224846895"/>
          <c:y val="0.91025131233595791"/>
          <c:w val="0.73558581219014285"/>
          <c:h val="8.7235126859142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[Assignment_2.xlsx]Sheet2!PivotTable1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SG" sz="1400" b="0" i="0" u="none" strike="noStrike" baseline="0">
                <a:effectLst/>
              </a:rPr>
              <a:t>Vietnam</a:t>
            </a:r>
            <a:endParaRPr lang="en-SG"/>
          </a:p>
        </c:rich>
      </c:tx>
      <c:layout>
        <c:manualLayout>
          <c:xMode val="edge"/>
          <c:yMode val="edge"/>
          <c:x val="0.45589117332555651"/>
          <c:y val="4.3307086614173228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0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1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</c:pivotFmts>
    <c:plotArea>
      <c:layout>
        <c:manualLayout>
          <c:layoutTarget val="inner"/>
          <c:xMode val="edge"/>
          <c:yMode val="edge"/>
          <c:x val="2.9952367065227959E-2"/>
          <c:y val="6.821959755030621E-2"/>
          <c:w val="0.95307232429279676"/>
          <c:h val="0.77481430446194233"/>
        </c:manualLayout>
      </c:layout>
      <c:lineChart>
        <c:grouping val="standard"/>
        <c:varyColors val="0"/>
        <c:ser>
          <c:idx val="0"/>
          <c:order val="0"/>
          <c:tx>
            <c:strRef>
              <c:f>Sheet2!$B$4:$B$5</c:f>
              <c:strCache>
                <c:ptCount val="1"/>
                <c:pt idx="0">
                  <c:v>3.03 Inflation, annual % change*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Sheet2!$B$6:$B$15</c:f>
              <c:numCache>
                <c:formatCode>General</c:formatCode>
                <c:ptCount val="9"/>
                <c:pt idx="0">
                  <c:v>8</c:v>
                </c:pt>
                <c:pt idx="1">
                  <c:v>7.5</c:v>
                </c:pt>
                <c:pt idx="2">
                  <c:v>8.3000000000000007</c:v>
                </c:pt>
                <c:pt idx="3">
                  <c:v>23.114999999999998</c:v>
                </c:pt>
                <c:pt idx="4">
                  <c:v>6.7169999999999996</c:v>
                </c:pt>
                <c:pt idx="5">
                  <c:v>9.2070000000000007</c:v>
                </c:pt>
                <c:pt idx="6">
                  <c:v>18.678000000000001</c:v>
                </c:pt>
                <c:pt idx="7">
                  <c:v>9.1029999999999998</c:v>
                </c:pt>
                <c:pt idx="8">
                  <c:v>6.5949999999999998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612-4537-87DE-3A4FBDF6E7BB}"/>
            </c:ext>
          </c:extLst>
        </c:ser>
        <c:ser>
          <c:idx val="1"/>
          <c:order val="1"/>
          <c:tx>
            <c:strRef>
              <c:f>Sheet2!$C$4:$C$5</c:f>
              <c:strCache>
                <c:ptCount val="1"/>
                <c:pt idx="0">
                  <c:v>8.06 Soundness of banks, 1-7 (best)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Sheet2!$C$6:$C$15</c:f>
              <c:numCache>
                <c:formatCode>General</c:formatCode>
                <c:ptCount val="9"/>
                <c:pt idx="0">
                  <c:v>4.7193737029999996</c:v>
                </c:pt>
                <c:pt idx="1">
                  <c:v>4.792612901</c:v>
                </c:pt>
                <c:pt idx="2">
                  <c:v>4.6857557290000003</c:v>
                </c:pt>
                <c:pt idx="3">
                  <c:v>4.5581174820000001</c:v>
                </c:pt>
                <c:pt idx="4">
                  <c:v>4.6736601289999999</c:v>
                </c:pt>
                <c:pt idx="5">
                  <c:v>4.5446428399999999</c:v>
                </c:pt>
                <c:pt idx="6">
                  <c:v>4.1933288500000003</c:v>
                </c:pt>
                <c:pt idx="7">
                  <c:v>3.7349485900000001</c:v>
                </c:pt>
                <c:pt idx="8">
                  <c:v>3.4844680389999998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612-4537-87DE-3A4FBDF6E7BB}"/>
            </c:ext>
          </c:extLst>
        </c:ser>
        <c:ser>
          <c:idx val="2"/>
          <c:order val="2"/>
          <c:tx>
            <c:strRef>
              <c:f>Sheet2!$D$4:$D$5</c:f>
              <c:strCache>
                <c:ptCount val="1"/>
                <c:pt idx="0">
                  <c:v>GDP per capita (US$)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Sheet2!$D$6:$D$15</c:f>
              <c:numCache>
                <c:formatCode>General</c:formatCode>
                <c:ptCount val="9"/>
                <c:pt idx="2">
                  <c:v>818.07799999999997</c:v>
                </c:pt>
                <c:pt idx="3">
                  <c:v>1040.3499999999999</c:v>
                </c:pt>
                <c:pt idx="4">
                  <c:v>1059.943</c:v>
                </c:pt>
                <c:pt idx="5">
                  <c:v>1173.548</c:v>
                </c:pt>
                <c:pt idx="6">
                  <c:v>1374.008</c:v>
                </c:pt>
                <c:pt idx="7">
                  <c:v>1527.5360000000001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612-4537-87DE-3A4FBDF6E7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3600559"/>
        <c:axId val="680487087"/>
      </c:lineChart>
      <c:catAx>
        <c:axId val="563600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487087"/>
        <c:crosses val="autoZero"/>
        <c:auto val="1"/>
        <c:lblAlgn val="ctr"/>
        <c:lblOffset val="100"/>
        <c:noMultiLvlLbl val="0"/>
      </c:catAx>
      <c:valAx>
        <c:axId val="680487087"/>
        <c:scaling>
          <c:logBase val="2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6005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265201224846895"/>
          <c:y val="0.91025131233595791"/>
          <c:w val="0.73558581219014285"/>
          <c:h val="8.7235126859142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[Assignment_2.xlsx]Sheet2!PivotTable1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Sheet2!$B$4:$B$5</c:f>
              <c:strCache>
                <c:ptCount val="1"/>
                <c:pt idx="0">
                  <c:v>           1.05 Irregular payments and bribes, 1-7 (best)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Sheet2!$B$6:$B$15</c:f>
              <c:numCache>
                <c:formatCode>General</c:formatCode>
                <c:ptCount val="9"/>
                <c:pt idx="4">
                  <c:v>2.8478529570000002</c:v>
                </c:pt>
                <c:pt idx="5">
                  <c:v>3.0286303029999999</c:v>
                </c:pt>
                <c:pt idx="6">
                  <c:v>3.2436483310000002</c:v>
                </c:pt>
                <c:pt idx="7">
                  <c:v>2.8591675350000001</c:v>
                </c:pt>
                <c:pt idx="8">
                  <c:v>2.7526703380000002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687-4A83-A7F1-B513F96BCE52}"/>
            </c:ext>
          </c:extLst>
        </c:ser>
        <c:ser>
          <c:idx val="1"/>
          <c:order val="1"/>
          <c:tx>
            <c:strRef>
              <c:f>Sheet2!$C$4:$C$5</c:f>
              <c:strCache>
                <c:ptCount val="1"/>
                <c:pt idx="0">
                  <c:v>           1.16 Reliability of police services, 1-7 (best)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Sheet2!$C$6:$C$15</c:f>
              <c:numCache>
                <c:formatCode>General</c:formatCode>
                <c:ptCount val="9"/>
                <c:pt idx="0">
                  <c:v>2.9627659569999998</c:v>
                </c:pt>
                <c:pt idx="1">
                  <c:v>2.9642384229999998</c:v>
                </c:pt>
                <c:pt idx="2">
                  <c:v>2.8830984599999998</c:v>
                </c:pt>
                <c:pt idx="3">
                  <c:v>3.090203722</c:v>
                </c:pt>
                <c:pt idx="4">
                  <c:v>3.2218062180000002</c:v>
                </c:pt>
                <c:pt idx="5">
                  <c:v>3.381479642</c:v>
                </c:pt>
                <c:pt idx="6">
                  <c:v>3.511846137</c:v>
                </c:pt>
                <c:pt idx="7">
                  <c:v>3.2981335879999998</c:v>
                </c:pt>
                <c:pt idx="8">
                  <c:v>2.9467601700000001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687-4A83-A7F1-B513F96BCE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3600559"/>
        <c:axId val="680487087"/>
      </c:lineChart>
      <c:catAx>
        <c:axId val="563600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487087"/>
        <c:crosses val="autoZero"/>
        <c:auto val="1"/>
        <c:lblAlgn val="ctr"/>
        <c:lblOffset val="100"/>
        <c:noMultiLvlLbl val="0"/>
      </c:catAx>
      <c:valAx>
        <c:axId val="6804870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6005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[Assignment_2.xlsx]Sheet2!PivotTable1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</c:pivotFmts>
    <c:plotArea>
      <c:layout>
        <c:manualLayout>
          <c:layoutTarget val="inner"/>
          <c:xMode val="edge"/>
          <c:yMode val="edge"/>
          <c:x val="2.9952367065227959E-2"/>
          <c:y val="6.821959755030621E-2"/>
          <c:w val="0.95307232429279676"/>
          <c:h val="0.68870319335083119"/>
        </c:manualLayout>
      </c:layout>
      <c:lineChart>
        <c:grouping val="standard"/>
        <c:varyColors val="0"/>
        <c:ser>
          <c:idx val="0"/>
          <c:order val="0"/>
          <c:tx>
            <c:strRef>
              <c:f>Sheet2!$B$4:$B$6</c:f>
              <c:strCache>
                <c:ptCount val="1"/>
                <c:pt idx="0">
                  <c:v>10.01 Domestic market size index -  KHM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Sheet2!$A$7:$A$16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Sheet2!$B$7:$B$16</c:f>
              <c:numCache>
                <c:formatCode>General</c:formatCode>
                <c:ptCount val="9"/>
                <c:pt idx="0">
                  <c:v>3.5902633229999998</c:v>
                </c:pt>
                <c:pt idx="1">
                  <c:v>3.1119652740000001</c:v>
                </c:pt>
                <c:pt idx="2">
                  <c:v>2.687446783</c:v>
                </c:pt>
                <c:pt idx="3">
                  <c:v>2.778681696</c:v>
                </c:pt>
                <c:pt idx="4">
                  <c:v>2.8017203099999999</c:v>
                </c:pt>
                <c:pt idx="5">
                  <c:v>2.8182852729999999</c:v>
                </c:pt>
                <c:pt idx="6">
                  <c:v>2.8684888059999998</c:v>
                </c:pt>
                <c:pt idx="7">
                  <c:v>2.8961819059999998</c:v>
                </c:pt>
                <c:pt idx="8">
                  <c:v>2.9991528600000001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A4A-4B45-AE8E-7CDDD6169D36}"/>
            </c:ext>
          </c:extLst>
        </c:ser>
        <c:ser>
          <c:idx val="1"/>
          <c:order val="1"/>
          <c:tx>
            <c:strRef>
              <c:f>Sheet2!$C$4:$C$6</c:f>
              <c:strCache>
                <c:ptCount val="1"/>
                <c:pt idx="0">
                  <c:v>10.01 Domestic market size index -  IDN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Sheet2!$A$7:$A$16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Sheet2!$C$7:$C$16</c:f>
              <c:numCache>
                <c:formatCode>General</c:formatCode>
                <c:ptCount val="9"/>
                <c:pt idx="0">
                  <c:v>5.4208685440000002</c:v>
                </c:pt>
                <c:pt idx="1">
                  <c:v>5.1325122590000003</c:v>
                </c:pt>
                <c:pt idx="2">
                  <c:v>5.0023220239999997</c:v>
                </c:pt>
                <c:pt idx="3">
                  <c:v>5.0712335179999997</c:v>
                </c:pt>
                <c:pt idx="4">
                  <c:v>5.1156515359999997</c:v>
                </c:pt>
                <c:pt idx="5">
                  <c:v>5.1358209410000004</c:v>
                </c:pt>
                <c:pt idx="6">
                  <c:v>5.1841783489999997</c:v>
                </c:pt>
                <c:pt idx="7">
                  <c:v>5.2330289040000002</c:v>
                </c:pt>
                <c:pt idx="8">
                  <c:v>5.2526721839999997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A4A-4B45-AE8E-7CDDD6169D36}"/>
            </c:ext>
          </c:extLst>
        </c:ser>
        <c:ser>
          <c:idx val="2"/>
          <c:order val="2"/>
          <c:tx>
            <c:strRef>
              <c:f>Sheet2!$D$4:$D$6</c:f>
              <c:strCache>
                <c:ptCount val="1"/>
                <c:pt idx="0">
                  <c:v>10.01 Domestic market size index -  MYS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Sheet2!$A$7:$A$16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Sheet2!$D$7:$D$16</c:f>
              <c:numCache>
                <c:formatCode>General</c:formatCode>
                <c:ptCount val="9"/>
                <c:pt idx="0">
                  <c:v>4.4356045699999997</c:v>
                </c:pt>
                <c:pt idx="1">
                  <c:v>4.211791549</c:v>
                </c:pt>
                <c:pt idx="2">
                  <c:v>4.2879304180000002</c:v>
                </c:pt>
                <c:pt idx="3">
                  <c:v>4.3075987969999998</c:v>
                </c:pt>
                <c:pt idx="4">
                  <c:v>4.3371134639999998</c:v>
                </c:pt>
                <c:pt idx="5">
                  <c:v>4.411060269</c:v>
                </c:pt>
                <c:pt idx="6">
                  <c:v>4.4638980879999997</c:v>
                </c:pt>
                <c:pt idx="7">
                  <c:v>4.5472840720000001</c:v>
                </c:pt>
                <c:pt idx="8">
                  <c:v>4.5912230530000002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A4A-4B45-AE8E-7CDDD6169D36}"/>
            </c:ext>
          </c:extLst>
        </c:ser>
        <c:ser>
          <c:idx val="3"/>
          <c:order val="3"/>
          <c:tx>
            <c:strRef>
              <c:f>Sheet2!$E$4:$E$6</c:f>
              <c:strCache>
                <c:ptCount val="1"/>
                <c:pt idx="0">
                  <c:v>10.01 Domestic market size index -  PHL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Sheet2!$A$7:$A$16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Sheet2!$E$7:$E$16</c:f>
              <c:numCache>
                <c:formatCode>General</c:formatCode>
                <c:ptCount val="9"/>
                <c:pt idx="0">
                  <c:v>4.9639400809999996</c:v>
                </c:pt>
                <c:pt idx="1">
                  <c:v>4.6753407569999998</c:v>
                </c:pt>
                <c:pt idx="2">
                  <c:v>4.3264237809999999</c:v>
                </c:pt>
                <c:pt idx="3">
                  <c:v>4.3655775410000004</c:v>
                </c:pt>
                <c:pt idx="4">
                  <c:v>4.3854009449999998</c:v>
                </c:pt>
                <c:pt idx="5">
                  <c:v>4.4234243930000003</c:v>
                </c:pt>
                <c:pt idx="6">
                  <c:v>4.5093178290000004</c:v>
                </c:pt>
                <c:pt idx="7">
                  <c:v>4.524315562</c:v>
                </c:pt>
                <c:pt idx="8">
                  <c:v>4.5456137989999998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A4A-4B45-AE8E-7CDDD6169D36}"/>
            </c:ext>
          </c:extLst>
        </c:ser>
        <c:ser>
          <c:idx val="4"/>
          <c:order val="4"/>
          <c:tx>
            <c:strRef>
              <c:f>Sheet2!$F$4:$F$6</c:f>
              <c:strCache>
                <c:ptCount val="1"/>
                <c:pt idx="0">
                  <c:v>10.01 Domestic market size index -  SGP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Sheet2!$A$7:$A$16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Sheet2!$F$7:$F$16</c:f>
              <c:numCache>
                <c:formatCode>General</c:formatCode>
                <c:ptCount val="9"/>
                <c:pt idx="0">
                  <c:v>3.8322413200000001</c:v>
                </c:pt>
                <c:pt idx="1">
                  <c:v>3.6041839929999999</c:v>
                </c:pt>
                <c:pt idx="2">
                  <c:v>3.8984148959999998</c:v>
                </c:pt>
                <c:pt idx="3">
                  <c:v>4.0172642740000004</c:v>
                </c:pt>
                <c:pt idx="4">
                  <c:v>4.0320743710000002</c:v>
                </c:pt>
                <c:pt idx="5">
                  <c:v>4.0750164099999999</c:v>
                </c:pt>
                <c:pt idx="6">
                  <c:v>4.1491816129999997</c:v>
                </c:pt>
                <c:pt idx="7">
                  <c:v>4.1985306790000001</c:v>
                </c:pt>
                <c:pt idx="8">
                  <c:v>4.2757321900000003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A4A-4B45-AE8E-7CDDD6169D36}"/>
            </c:ext>
          </c:extLst>
        </c:ser>
        <c:ser>
          <c:idx val="5"/>
          <c:order val="5"/>
          <c:tx>
            <c:strRef>
              <c:f>Sheet2!$G$4:$G$6</c:f>
              <c:strCache>
                <c:ptCount val="1"/>
                <c:pt idx="0">
                  <c:v>10.01 Domestic market size index -  THA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Sheet2!$A$7:$A$16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Sheet2!$G$7:$G$16</c:f>
              <c:numCache>
                <c:formatCode>General</c:formatCode>
                <c:ptCount val="9"/>
                <c:pt idx="0">
                  <c:v>5.1324440659999997</c:v>
                </c:pt>
                <c:pt idx="1">
                  <c:v>4.8125673710000001</c:v>
                </c:pt>
                <c:pt idx="2">
                  <c:v>4.6461985830000003</c:v>
                </c:pt>
                <c:pt idx="3">
                  <c:v>4.7108392659999998</c:v>
                </c:pt>
                <c:pt idx="4">
                  <c:v>4.6627109259999999</c:v>
                </c:pt>
                <c:pt idx="5">
                  <c:v>4.7554593169999997</c:v>
                </c:pt>
                <c:pt idx="6">
                  <c:v>4.7859780269999996</c:v>
                </c:pt>
                <c:pt idx="7">
                  <c:v>4.8342461090000004</c:v>
                </c:pt>
                <c:pt idx="8">
                  <c:v>4.8301635090000001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4A4A-4B45-AE8E-7CDDD6169D36}"/>
            </c:ext>
          </c:extLst>
        </c:ser>
        <c:ser>
          <c:idx val="6"/>
          <c:order val="6"/>
          <c:tx>
            <c:strRef>
              <c:f>Sheet2!$H$4:$H$6</c:f>
              <c:strCache>
                <c:ptCount val="1"/>
                <c:pt idx="0">
                  <c:v>10.01 Domestic market size index -  VNM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Sheet2!$A$7:$A$16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Sheet2!$H$7:$H$16</c:f>
              <c:numCache>
                <c:formatCode>General</c:formatCode>
                <c:ptCount val="9"/>
                <c:pt idx="0">
                  <c:v>4.717745989</c:v>
                </c:pt>
                <c:pt idx="1">
                  <c:v>4.3439891450000001</c:v>
                </c:pt>
                <c:pt idx="2">
                  <c:v>4.1416910710000003</c:v>
                </c:pt>
                <c:pt idx="3">
                  <c:v>4.2545435090000003</c:v>
                </c:pt>
                <c:pt idx="4">
                  <c:v>4.2972924800000003</c:v>
                </c:pt>
                <c:pt idx="5">
                  <c:v>4.32475437</c:v>
                </c:pt>
                <c:pt idx="6">
                  <c:v>4.3577994100000002</c:v>
                </c:pt>
                <c:pt idx="7">
                  <c:v>4.3188573249999997</c:v>
                </c:pt>
                <c:pt idx="8">
                  <c:v>4.3836126030000004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4A4A-4B45-AE8E-7CDDD6169D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3600559"/>
        <c:axId val="680487087"/>
      </c:lineChart>
      <c:catAx>
        <c:axId val="563600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487087"/>
        <c:crosses val="autoZero"/>
        <c:auto val="1"/>
        <c:lblAlgn val="ctr"/>
        <c:lblOffset val="100"/>
        <c:noMultiLvlLbl val="0"/>
      </c:catAx>
      <c:valAx>
        <c:axId val="680487087"/>
        <c:scaling>
          <c:orientation val="minMax"/>
          <c:max val="5.5"/>
          <c:min val="2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6005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9.7158185087975135E-2"/>
          <c:y val="0.82136242344706911"/>
          <c:w val="0.80660068533100027"/>
          <c:h val="0.1768191163604549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[Assignment_2.xlsx]Sheet2!PivotTable1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</c:pivotFmts>
    <c:plotArea>
      <c:layout>
        <c:manualLayout>
          <c:layoutTarget val="inner"/>
          <c:xMode val="edge"/>
          <c:yMode val="edge"/>
          <c:x val="2.9952367065227959E-2"/>
          <c:y val="6.821959755030621E-2"/>
          <c:w val="0.95307232429279676"/>
          <c:h val="0.68870319335083119"/>
        </c:manualLayout>
      </c:layout>
      <c:lineChart>
        <c:grouping val="standard"/>
        <c:varyColors val="0"/>
        <c:ser>
          <c:idx val="0"/>
          <c:order val="0"/>
          <c:tx>
            <c:strRef>
              <c:f>Sheet2!$B$4:$B$6</c:f>
              <c:strCache>
                <c:ptCount val="1"/>
                <c:pt idx="0">
                  <c:v>10.02 Foreign market size index -  KHM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Sheet2!$A$7:$A$16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Sheet2!$B$7:$B$16</c:f>
              <c:numCache>
                <c:formatCode>General</c:formatCode>
                <c:ptCount val="9"/>
                <c:pt idx="0">
                  <c:v>3.6753344100000001</c:v>
                </c:pt>
                <c:pt idx="1">
                  <c:v>3.753611818</c:v>
                </c:pt>
                <c:pt idx="2">
                  <c:v>3.7932241150000001</c:v>
                </c:pt>
                <c:pt idx="3">
                  <c:v>4.0508754140000001</c:v>
                </c:pt>
                <c:pt idx="4">
                  <c:v>3.6446662299999999</c:v>
                </c:pt>
                <c:pt idx="5">
                  <c:v>3.8413112229999999</c:v>
                </c:pt>
                <c:pt idx="6">
                  <c:v>3.975429412</c:v>
                </c:pt>
                <c:pt idx="7">
                  <c:v>4.2424734109999998</c:v>
                </c:pt>
                <c:pt idx="8">
                  <c:v>4.259296451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C80-40B3-9A43-405E855980D7}"/>
            </c:ext>
          </c:extLst>
        </c:ser>
        <c:ser>
          <c:idx val="1"/>
          <c:order val="1"/>
          <c:tx>
            <c:strRef>
              <c:f>Sheet2!$C$4:$C$6</c:f>
              <c:strCache>
                <c:ptCount val="1"/>
                <c:pt idx="0">
                  <c:v>10.02 Foreign market size index -  IDN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Sheet2!$A$7:$A$16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Sheet2!$C$7:$C$16</c:f>
              <c:numCache>
                <c:formatCode>General</c:formatCode>
                <c:ptCount val="9"/>
                <c:pt idx="0">
                  <c:v>5.3858695499999998</c:v>
                </c:pt>
                <c:pt idx="1">
                  <c:v>5.2729701100000002</c:v>
                </c:pt>
                <c:pt idx="2">
                  <c:v>5.4491792529999996</c:v>
                </c:pt>
                <c:pt idx="3">
                  <c:v>5.6462769579999996</c:v>
                </c:pt>
                <c:pt idx="4">
                  <c:v>5.5078647030000001</c:v>
                </c:pt>
                <c:pt idx="5">
                  <c:v>5.487203944</c:v>
                </c:pt>
                <c:pt idx="6">
                  <c:v>5.5257802229999999</c:v>
                </c:pt>
                <c:pt idx="7">
                  <c:v>5.5914891520000003</c:v>
                </c:pt>
                <c:pt idx="8">
                  <c:v>5.598611429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C80-40B3-9A43-405E855980D7}"/>
            </c:ext>
          </c:extLst>
        </c:ser>
        <c:ser>
          <c:idx val="2"/>
          <c:order val="2"/>
          <c:tx>
            <c:strRef>
              <c:f>Sheet2!$D$4:$D$6</c:f>
              <c:strCache>
                <c:ptCount val="1"/>
                <c:pt idx="0">
                  <c:v>10.02 Foreign market size index -  MYS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Sheet2!$A$7:$A$16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Sheet2!$D$7:$D$16</c:f>
              <c:numCache>
                <c:formatCode>General</c:formatCode>
                <c:ptCount val="9"/>
                <c:pt idx="0">
                  <c:v>5.2952832330000001</c:v>
                </c:pt>
                <c:pt idx="1">
                  <c:v>5.4435227709999996</c:v>
                </c:pt>
                <c:pt idx="2">
                  <c:v>5.7416681580000004</c:v>
                </c:pt>
                <c:pt idx="3">
                  <c:v>5.8632474209999996</c:v>
                </c:pt>
                <c:pt idx="4">
                  <c:v>5.8036136100000002</c:v>
                </c:pt>
                <c:pt idx="5">
                  <c:v>5.7684733000000001</c:v>
                </c:pt>
                <c:pt idx="6">
                  <c:v>5.7469913640000003</c:v>
                </c:pt>
                <c:pt idx="7">
                  <c:v>5.82221454</c:v>
                </c:pt>
                <c:pt idx="8">
                  <c:v>5.8209362059999998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C80-40B3-9A43-405E855980D7}"/>
            </c:ext>
          </c:extLst>
        </c:ser>
        <c:ser>
          <c:idx val="3"/>
          <c:order val="3"/>
          <c:tx>
            <c:strRef>
              <c:f>Sheet2!$E$4:$E$6</c:f>
              <c:strCache>
                <c:ptCount val="1"/>
                <c:pt idx="0">
                  <c:v>10.02 Foreign market size index -  PHL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Sheet2!$A$7:$A$16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Sheet2!$E$7:$E$16</c:f>
              <c:numCache>
                <c:formatCode>General</c:formatCode>
                <c:ptCount val="9"/>
                <c:pt idx="0">
                  <c:v>5.0596380769999998</c:v>
                </c:pt>
                <c:pt idx="1">
                  <c:v>5.0591445999999998</c:v>
                </c:pt>
                <c:pt idx="2">
                  <c:v>5.013009061</c:v>
                </c:pt>
                <c:pt idx="3">
                  <c:v>5.1963893890000001</c:v>
                </c:pt>
                <c:pt idx="4">
                  <c:v>4.9845208349999996</c:v>
                </c:pt>
                <c:pt idx="5">
                  <c:v>5.0195279509999997</c:v>
                </c:pt>
                <c:pt idx="6">
                  <c:v>4.9540423699999998</c:v>
                </c:pt>
                <c:pt idx="7">
                  <c:v>5.071819487</c:v>
                </c:pt>
                <c:pt idx="8">
                  <c:v>5.1005318370000001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7C80-40B3-9A43-405E855980D7}"/>
            </c:ext>
          </c:extLst>
        </c:ser>
        <c:ser>
          <c:idx val="4"/>
          <c:order val="4"/>
          <c:tx>
            <c:strRef>
              <c:f>Sheet2!$F$4:$F$6</c:f>
              <c:strCache>
                <c:ptCount val="1"/>
                <c:pt idx="0">
                  <c:v>10.02 Foreign market size index -  SGP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Sheet2!$A$7:$A$16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Sheet2!$F$7:$F$16</c:f>
              <c:numCache>
                <c:formatCode>General</c:formatCode>
                <c:ptCount val="9"/>
                <c:pt idx="0">
                  <c:v>5.1145387280000003</c:v>
                </c:pt>
                <c:pt idx="1">
                  <c:v>5.4154606330000004</c:v>
                </c:pt>
                <c:pt idx="2">
                  <c:v>5.928157079</c:v>
                </c:pt>
                <c:pt idx="3">
                  <c:v>6.0558547799999998</c:v>
                </c:pt>
                <c:pt idx="4">
                  <c:v>5.9582700559999999</c:v>
                </c:pt>
                <c:pt idx="5">
                  <c:v>6.0207815609999997</c:v>
                </c:pt>
                <c:pt idx="6">
                  <c:v>6.0116667120000002</c:v>
                </c:pt>
                <c:pt idx="7">
                  <c:v>6.0430278050000004</c:v>
                </c:pt>
                <c:pt idx="8">
                  <c:v>6.005473684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7C80-40B3-9A43-405E855980D7}"/>
            </c:ext>
          </c:extLst>
        </c:ser>
        <c:ser>
          <c:idx val="5"/>
          <c:order val="5"/>
          <c:tx>
            <c:strRef>
              <c:f>Sheet2!$G$4:$G$6</c:f>
              <c:strCache>
                <c:ptCount val="1"/>
                <c:pt idx="0">
                  <c:v>10.02 Foreign market size index -  THA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Sheet2!$A$7:$A$16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Sheet2!$G$7:$G$16</c:f>
              <c:numCache>
                <c:formatCode>General</c:formatCode>
                <c:ptCount val="9"/>
                <c:pt idx="0">
                  <c:v>5.5656341559999998</c:v>
                </c:pt>
                <c:pt idx="1">
                  <c:v>5.5381462619999997</c:v>
                </c:pt>
                <c:pt idx="2">
                  <c:v>5.7228739930000003</c:v>
                </c:pt>
                <c:pt idx="3">
                  <c:v>5.8905253589999997</c:v>
                </c:pt>
                <c:pt idx="4">
                  <c:v>5.8022584100000003</c:v>
                </c:pt>
                <c:pt idx="5">
                  <c:v>5.7971296089999997</c:v>
                </c:pt>
                <c:pt idx="6">
                  <c:v>5.8127322850000001</c:v>
                </c:pt>
                <c:pt idx="7">
                  <c:v>5.8971393619999999</c:v>
                </c:pt>
                <c:pt idx="8">
                  <c:v>5.8808202820000002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7C80-40B3-9A43-405E855980D7}"/>
            </c:ext>
          </c:extLst>
        </c:ser>
        <c:ser>
          <c:idx val="6"/>
          <c:order val="6"/>
          <c:tx>
            <c:strRef>
              <c:f>Sheet2!$H$4:$H$6</c:f>
              <c:strCache>
                <c:ptCount val="1"/>
                <c:pt idx="0">
                  <c:v>10.02 Foreign market size index -  VNM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Sheet2!$A$7:$A$16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Sheet2!$H$7:$H$16</c:f>
              <c:numCache>
                <c:formatCode>General</c:formatCode>
                <c:ptCount val="9"/>
                <c:pt idx="0">
                  <c:v>5.0286847320000003</c:v>
                </c:pt>
                <c:pt idx="1">
                  <c:v>5.0181750709999999</c:v>
                </c:pt>
                <c:pt idx="2">
                  <c:v>5.2282171200000001</c:v>
                </c:pt>
                <c:pt idx="3">
                  <c:v>5.450949477</c:v>
                </c:pt>
                <c:pt idx="4">
                  <c:v>5.3295335340000003</c:v>
                </c:pt>
                <c:pt idx="5">
                  <c:v>5.3770894260000004</c:v>
                </c:pt>
                <c:pt idx="6">
                  <c:v>5.445128295</c:v>
                </c:pt>
                <c:pt idx="7">
                  <c:v>5.5836458289999999</c:v>
                </c:pt>
                <c:pt idx="8">
                  <c:v>5.5898188940000004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7C80-40B3-9A43-405E855980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3600559"/>
        <c:axId val="680487087"/>
      </c:lineChart>
      <c:catAx>
        <c:axId val="563600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487087"/>
        <c:crosses val="autoZero"/>
        <c:auto val="1"/>
        <c:lblAlgn val="ctr"/>
        <c:lblOffset val="100"/>
        <c:noMultiLvlLbl val="0"/>
      </c:catAx>
      <c:valAx>
        <c:axId val="680487087"/>
        <c:scaling>
          <c:orientation val="minMax"/>
          <c:max val="6.5"/>
          <c:min val="3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6005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9.7158185087975135E-2"/>
          <c:y val="0.82136242344706911"/>
          <c:w val="0.775003280839895"/>
          <c:h val="0.1768191163604549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[Assignment_2.xlsx]Sheet2!PivotTable1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SG"/>
              <a:t>Indonesia</a:t>
            </a:r>
          </a:p>
        </c:rich>
      </c:tx>
      <c:layout>
        <c:manualLayout>
          <c:xMode val="edge"/>
          <c:yMode val="edge"/>
          <c:x val="0.44817512394284048"/>
          <c:y val="4.3307086614173228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0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1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2.9952367065227959E-2"/>
          <c:y val="6.821959755030621E-2"/>
          <c:w val="0.95307232429279676"/>
          <c:h val="0.77481430446194233"/>
        </c:manualLayout>
      </c:layout>
      <c:lineChart>
        <c:grouping val="standard"/>
        <c:varyColors val="0"/>
        <c:ser>
          <c:idx val="0"/>
          <c:order val="0"/>
          <c:tx>
            <c:strRef>
              <c:f>Sheet2!$B$4:$B$5</c:f>
              <c:strCache>
                <c:ptCount val="1"/>
                <c:pt idx="0">
                  <c:v>5.03 Quality of the education system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numFmt formatCode="#,##0.00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Sheet2!$B$6:$B$15</c:f>
              <c:numCache>
                <c:formatCode>General</c:formatCode>
                <c:ptCount val="9"/>
                <c:pt idx="0">
                  <c:v>4.2795304759999997</c:v>
                </c:pt>
                <c:pt idx="1">
                  <c:v>4.6145426230000002</c:v>
                </c:pt>
                <c:pt idx="2">
                  <c:v>4.1740193290000001</c:v>
                </c:pt>
                <c:pt idx="3">
                  <c:v>4.0731088959999999</c:v>
                </c:pt>
                <c:pt idx="4">
                  <c:v>4.3312765579999999</c:v>
                </c:pt>
                <c:pt idx="5">
                  <c:v>4.2314453500000004</c:v>
                </c:pt>
                <c:pt idx="6">
                  <c:v>4.1310663380000001</c:v>
                </c:pt>
                <c:pt idx="7">
                  <c:v>4.3279972000000004</c:v>
                </c:pt>
                <c:pt idx="8">
                  <c:v>4.4641250000000001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B06-4742-8420-2A489D48FFEC}"/>
            </c:ext>
          </c:extLst>
        </c:ser>
        <c:ser>
          <c:idx val="1"/>
          <c:order val="1"/>
          <c:tx>
            <c:strRef>
              <c:f>Sheet2!$C$4:$C$5</c:f>
              <c:strCache>
                <c:ptCount val="1"/>
                <c:pt idx="0">
                  <c:v>   GDP per capita (US$)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numFmt formatCode="#,##0.00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Sheet2!$C$6:$C$15</c:f>
              <c:numCache>
                <c:formatCode>General</c:formatCode>
                <c:ptCount val="9"/>
                <c:pt idx="2">
                  <c:v>1924.7280000000001</c:v>
                </c:pt>
                <c:pt idx="3">
                  <c:v>2246.27</c:v>
                </c:pt>
                <c:pt idx="4">
                  <c:v>2329.4490000000001</c:v>
                </c:pt>
                <c:pt idx="5">
                  <c:v>3015.3739999999998</c:v>
                </c:pt>
                <c:pt idx="6">
                  <c:v>3508.605</c:v>
                </c:pt>
                <c:pt idx="7">
                  <c:v>3592.2849999999999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B06-4742-8420-2A489D48FF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3600559"/>
        <c:axId val="680487087"/>
      </c:lineChart>
      <c:catAx>
        <c:axId val="563600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487087"/>
        <c:crosses val="autoZero"/>
        <c:auto val="1"/>
        <c:lblAlgn val="ctr"/>
        <c:lblOffset val="100"/>
        <c:noMultiLvlLbl val="0"/>
      </c:catAx>
      <c:valAx>
        <c:axId val="680487087"/>
        <c:scaling>
          <c:logBase val="2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6005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530223826188393"/>
          <c:y val="0.91025131233595791"/>
          <c:w val="0.49102994070185674"/>
          <c:h val="8.7235126859142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[Assignment_2.xlsx]Sheet2!PivotTable1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SG"/>
              <a:t>Thailand</a:t>
            </a:r>
          </a:p>
        </c:rich>
      </c:tx>
      <c:layout>
        <c:manualLayout>
          <c:xMode val="edge"/>
          <c:yMode val="edge"/>
          <c:x val="0.45589117332555651"/>
          <c:y val="4.3307086614173228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0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1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3"/>
        <c:spPr>
          <a:solidFill>
            <a:schemeClr val="accent1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2.9952367065227959E-2"/>
          <c:y val="6.821959755030621E-2"/>
          <c:w val="0.95307232429279676"/>
          <c:h val="0.77481430446194233"/>
        </c:manualLayout>
      </c:layout>
      <c:lineChart>
        <c:grouping val="standard"/>
        <c:varyColors val="0"/>
        <c:ser>
          <c:idx val="0"/>
          <c:order val="0"/>
          <c:tx>
            <c:strRef>
              <c:f>Sheet2!$B$4:$B$5</c:f>
              <c:strCache>
                <c:ptCount val="1"/>
                <c:pt idx="0">
                  <c:v>5.03 Quality of the education system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numFmt formatCode="#,##0.00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Sheet2!$B$6:$B$15</c:f>
              <c:numCache>
                <c:formatCode>General</c:formatCode>
                <c:ptCount val="9"/>
                <c:pt idx="0">
                  <c:v>3.982905138</c:v>
                </c:pt>
                <c:pt idx="1">
                  <c:v>4.1429468600000003</c:v>
                </c:pt>
                <c:pt idx="2">
                  <c:v>3.8075372710000002</c:v>
                </c:pt>
                <c:pt idx="3">
                  <c:v>3.6057747889999998</c:v>
                </c:pt>
                <c:pt idx="4">
                  <c:v>3.7494687519999998</c:v>
                </c:pt>
                <c:pt idx="5">
                  <c:v>3.5700016680000002</c:v>
                </c:pt>
                <c:pt idx="6">
                  <c:v>3.5397144310000002</c:v>
                </c:pt>
                <c:pt idx="7">
                  <c:v>3.5749061750000002</c:v>
                </c:pt>
                <c:pt idx="8">
                  <c:v>3.4498503710000001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999-4F40-9123-798A7888CCD6}"/>
            </c:ext>
          </c:extLst>
        </c:ser>
        <c:ser>
          <c:idx val="1"/>
          <c:order val="1"/>
          <c:tx>
            <c:strRef>
              <c:f>Sheet2!$C$4:$C$5</c:f>
              <c:strCache>
                <c:ptCount val="1"/>
                <c:pt idx="0">
                  <c:v>   GDP per capita (US$)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numFmt formatCode="#,##0.00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Sheet2!$C$6:$C$15</c:f>
              <c:numCache>
                <c:formatCode>General</c:formatCode>
                <c:ptCount val="9"/>
                <c:pt idx="2">
                  <c:v>3736.8240000000001</c:v>
                </c:pt>
                <c:pt idx="3">
                  <c:v>4115.3320000000003</c:v>
                </c:pt>
                <c:pt idx="4">
                  <c:v>3939.6260000000002</c:v>
                </c:pt>
                <c:pt idx="5">
                  <c:v>4991.5249999999996</c:v>
                </c:pt>
                <c:pt idx="6">
                  <c:v>5394.3620000000001</c:v>
                </c:pt>
                <c:pt idx="7">
                  <c:v>5678.4769999999999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999-4F40-9123-798A7888CC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3600559"/>
        <c:axId val="680487087"/>
      </c:lineChart>
      <c:catAx>
        <c:axId val="563600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487087"/>
        <c:crosses val="autoZero"/>
        <c:auto val="1"/>
        <c:lblAlgn val="ctr"/>
        <c:lblOffset val="100"/>
        <c:noMultiLvlLbl val="0"/>
      </c:catAx>
      <c:valAx>
        <c:axId val="680487087"/>
        <c:scaling>
          <c:logBase val="2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6005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530223826188393"/>
          <c:y val="0.91025131233595791"/>
          <c:w val="0.49102994070185674"/>
          <c:h val="8.7235126859142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[Assignment_2.xlsx]Sheet2!PivotTable1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SG" sz="1400" b="0" i="0" u="none" strike="noStrike" baseline="0">
                <a:effectLst/>
              </a:rPr>
              <a:t>Cambodia</a:t>
            </a:r>
            <a:endParaRPr lang="en-SG"/>
          </a:p>
        </c:rich>
      </c:tx>
      <c:layout>
        <c:manualLayout>
          <c:xMode val="edge"/>
          <c:yMode val="edge"/>
          <c:x val="0.44817512394284048"/>
          <c:y val="4.3307086614173228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0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1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</c:pivotFmts>
    <c:plotArea>
      <c:layout>
        <c:manualLayout>
          <c:layoutTarget val="inner"/>
          <c:xMode val="edge"/>
          <c:yMode val="edge"/>
          <c:x val="2.9952367065227959E-2"/>
          <c:y val="6.821959755030621E-2"/>
          <c:w val="0.95307232429279676"/>
          <c:h val="0.77481430446194233"/>
        </c:manualLayout>
      </c:layout>
      <c:lineChart>
        <c:grouping val="standard"/>
        <c:varyColors val="0"/>
        <c:ser>
          <c:idx val="0"/>
          <c:order val="0"/>
          <c:tx>
            <c:strRef>
              <c:f>Sheet2!$B$4:$B$5</c:f>
              <c:strCache>
                <c:ptCount val="1"/>
                <c:pt idx="0">
                  <c:v>3.03 Inflation, annual % change*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Sheet2!$B$6:$B$15</c:f>
              <c:numCache>
                <c:formatCode>General</c:formatCode>
                <c:ptCount val="9"/>
                <c:pt idx="0">
                  <c:v>5.8</c:v>
                </c:pt>
                <c:pt idx="1">
                  <c:v>4.8</c:v>
                </c:pt>
                <c:pt idx="2">
                  <c:v>5.9</c:v>
                </c:pt>
                <c:pt idx="3">
                  <c:v>19.693999999999999</c:v>
                </c:pt>
                <c:pt idx="4">
                  <c:v>-0.66300000000000003</c:v>
                </c:pt>
                <c:pt idx="5">
                  <c:v>3.9969999999999999</c:v>
                </c:pt>
                <c:pt idx="6">
                  <c:v>5.4779999999999998</c:v>
                </c:pt>
                <c:pt idx="7">
                  <c:v>2.9249999999999998</c:v>
                </c:pt>
                <c:pt idx="8">
                  <c:v>2.9529999999999998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763-4142-B5F4-52C312B5BA5C}"/>
            </c:ext>
          </c:extLst>
        </c:ser>
        <c:ser>
          <c:idx val="1"/>
          <c:order val="1"/>
          <c:tx>
            <c:strRef>
              <c:f>Sheet2!$C$4:$C$5</c:f>
              <c:strCache>
                <c:ptCount val="1"/>
                <c:pt idx="0">
                  <c:v>8.06 Soundness of banks, 1-7 (best)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Sheet2!$C$6:$C$15</c:f>
              <c:numCache>
                <c:formatCode>General</c:formatCode>
                <c:ptCount val="9"/>
                <c:pt idx="0">
                  <c:v>4.1946808510000002</c:v>
                </c:pt>
                <c:pt idx="1">
                  <c:v>4.376773032</c:v>
                </c:pt>
                <c:pt idx="2">
                  <c:v>4.4435748469999998</c:v>
                </c:pt>
                <c:pt idx="3">
                  <c:v>4.4489469269999997</c:v>
                </c:pt>
                <c:pt idx="4">
                  <c:v>4.6141266339999998</c:v>
                </c:pt>
                <c:pt idx="5">
                  <c:v>4.7974016769999999</c:v>
                </c:pt>
                <c:pt idx="6">
                  <c:v>4.8171750610000004</c:v>
                </c:pt>
                <c:pt idx="7">
                  <c:v>4.7646198240000004</c:v>
                </c:pt>
                <c:pt idx="8">
                  <c:v>4.4998639459999996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763-4142-B5F4-52C312B5BA5C}"/>
            </c:ext>
          </c:extLst>
        </c:ser>
        <c:ser>
          <c:idx val="2"/>
          <c:order val="2"/>
          <c:tx>
            <c:strRef>
              <c:f>Sheet2!$D$4:$D$5</c:f>
              <c:strCache>
                <c:ptCount val="1"/>
                <c:pt idx="0">
                  <c:v>GDP per capita (US$)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Sheet2!$D$6:$D$15</c:f>
              <c:numCache>
                <c:formatCode>General</c:formatCode>
                <c:ptCount val="9"/>
                <c:pt idx="2">
                  <c:v>600.03099999999995</c:v>
                </c:pt>
                <c:pt idx="3">
                  <c:v>818.08100000000002</c:v>
                </c:pt>
                <c:pt idx="4">
                  <c:v>774.95</c:v>
                </c:pt>
                <c:pt idx="5">
                  <c:v>813.798</c:v>
                </c:pt>
                <c:pt idx="6">
                  <c:v>851.529</c:v>
                </c:pt>
                <c:pt idx="7">
                  <c:v>933.60900000000004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763-4142-B5F4-52C312B5BA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3600559"/>
        <c:axId val="680487087"/>
      </c:lineChart>
      <c:catAx>
        <c:axId val="563600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487087"/>
        <c:crosses val="autoZero"/>
        <c:auto val="1"/>
        <c:lblAlgn val="ctr"/>
        <c:lblOffset val="100"/>
        <c:noMultiLvlLbl val="0"/>
      </c:catAx>
      <c:valAx>
        <c:axId val="680487087"/>
        <c:scaling>
          <c:logBase val="2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6005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265201224846895"/>
          <c:y val="0.91025131233595791"/>
          <c:w val="0.73558581219014285"/>
          <c:h val="8.7235126859142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[Assignment_2.xlsx]Sheet2!PivotTable1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SG" sz="1400" b="0" i="0" u="none" strike="noStrike" baseline="0">
                <a:effectLst/>
              </a:rPr>
              <a:t>Indonesia</a:t>
            </a:r>
            <a:endParaRPr lang="en-SG"/>
          </a:p>
        </c:rich>
      </c:tx>
      <c:layout>
        <c:manualLayout>
          <c:xMode val="edge"/>
          <c:yMode val="edge"/>
          <c:x val="0.44817512394284048"/>
          <c:y val="4.3307086614173228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0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1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</c:pivotFmts>
    <c:plotArea>
      <c:layout>
        <c:manualLayout>
          <c:layoutTarget val="inner"/>
          <c:xMode val="edge"/>
          <c:yMode val="edge"/>
          <c:x val="2.9952367065227959E-2"/>
          <c:y val="6.821959755030621E-2"/>
          <c:w val="0.95307232429279676"/>
          <c:h val="0.77481430446194233"/>
        </c:manualLayout>
      </c:layout>
      <c:lineChart>
        <c:grouping val="standard"/>
        <c:varyColors val="0"/>
        <c:ser>
          <c:idx val="0"/>
          <c:order val="0"/>
          <c:tx>
            <c:strRef>
              <c:f>Sheet2!$B$4:$B$5</c:f>
              <c:strCache>
                <c:ptCount val="1"/>
                <c:pt idx="0">
                  <c:v>3.03 Inflation, annual % change*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Sheet2!$B$6:$B$15</c:f>
              <c:numCache>
                <c:formatCode>General</c:formatCode>
                <c:ptCount val="9"/>
                <c:pt idx="0">
                  <c:v>10.5</c:v>
                </c:pt>
                <c:pt idx="1">
                  <c:v>13.1</c:v>
                </c:pt>
                <c:pt idx="2">
                  <c:v>6.407</c:v>
                </c:pt>
                <c:pt idx="3">
                  <c:v>9.7769999999999992</c:v>
                </c:pt>
                <c:pt idx="4">
                  <c:v>4.8140000000000001</c:v>
                </c:pt>
                <c:pt idx="5">
                  <c:v>5.133</c:v>
                </c:pt>
                <c:pt idx="6">
                  <c:v>5.3570000000000002</c:v>
                </c:pt>
                <c:pt idx="7">
                  <c:v>4.2590000000000003</c:v>
                </c:pt>
                <c:pt idx="8">
                  <c:v>6.4130000000000003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00B-4D5B-8829-6031E2F45D76}"/>
            </c:ext>
          </c:extLst>
        </c:ser>
        <c:ser>
          <c:idx val="1"/>
          <c:order val="1"/>
          <c:tx>
            <c:strRef>
              <c:f>Sheet2!$C$4:$C$5</c:f>
              <c:strCache>
                <c:ptCount val="1"/>
                <c:pt idx="0">
                  <c:v>8.06 Soundness of banks, 1-7 (best)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Sheet2!$C$6:$C$15</c:f>
              <c:numCache>
                <c:formatCode>General</c:formatCode>
                <c:ptCount val="9"/>
                <c:pt idx="0">
                  <c:v>4.4949687359999997</c:v>
                </c:pt>
                <c:pt idx="1">
                  <c:v>4.4852172860000001</c:v>
                </c:pt>
                <c:pt idx="2">
                  <c:v>4.5604139789999998</c:v>
                </c:pt>
                <c:pt idx="3">
                  <c:v>4.9110112819999996</c:v>
                </c:pt>
                <c:pt idx="4">
                  <c:v>4.7305221020000001</c:v>
                </c:pt>
                <c:pt idx="5">
                  <c:v>4.4765737000000003</c:v>
                </c:pt>
                <c:pt idx="6">
                  <c:v>4.6044201300000003</c:v>
                </c:pt>
                <c:pt idx="7">
                  <c:v>5.0125304740000001</c:v>
                </c:pt>
                <c:pt idx="8">
                  <c:v>5.1071198569999998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00B-4D5B-8829-6031E2F45D76}"/>
            </c:ext>
          </c:extLst>
        </c:ser>
        <c:ser>
          <c:idx val="2"/>
          <c:order val="2"/>
          <c:tx>
            <c:strRef>
              <c:f>Sheet2!$D$4:$D$5</c:f>
              <c:strCache>
                <c:ptCount val="1"/>
                <c:pt idx="0">
                  <c:v>GDP per capita (US$)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Sheet2!$D$6:$D$15</c:f>
              <c:numCache>
                <c:formatCode>General</c:formatCode>
                <c:ptCount val="9"/>
                <c:pt idx="2">
                  <c:v>1924.7280000000001</c:v>
                </c:pt>
                <c:pt idx="3">
                  <c:v>2246.27</c:v>
                </c:pt>
                <c:pt idx="4">
                  <c:v>2329.4490000000001</c:v>
                </c:pt>
                <c:pt idx="5">
                  <c:v>3015.3739999999998</c:v>
                </c:pt>
                <c:pt idx="6">
                  <c:v>3508.605</c:v>
                </c:pt>
                <c:pt idx="7">
                  <c:v>3592.2849999999999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00B-4D5B-8829-6031E2F45D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3600559"/>
        <c:axId val="680487087"/>
      </c:lineChart>
      <c:catAx>
        <c:axId val="563600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487087"/>
        <c:crosses val="autoZero"/>
        <c:auto val="1"/>
        <c:lblAlgn val="ctr"/>
        <c:lblOffset val="100"/>
        <c:noMultiLvlLbl val="0"/>
      </c:catAx>
      <c:valAx>
        <c:axId val="680487087"/>
        <c:scaling>
          <c:logBase val="2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6005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265201224846895"/>
          <c:y val="0.91025131233595791"/>
          <c:w val="0.73558581219014285"/>
          <c:h val="8.7235126859142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[Assignment_2.xlsx]Sheet2!PivotTable1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SG" sz="1400" b="0" i="0" u="none" strike="noStrike" baseline="0">
                <a:effectLst/>
              </a:rPr>
              <a:t>Malaysia</a:t>
            </a:r>
            <a:endParaRPr lang="en-SG"/>
          </a:p>
        </c:rich>
      </c:tx>
      <c:layout>
        <c:manualLayout>
          <c:xMode val="edge"/>
          <c:yMode val="edge"/>
          <c:x val="0.45589117332555651"/>
          <c:y val="4.3307086614173228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10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1"/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numFmt formatCode="#,##0.00" sourceLinked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  <c:pivotFmt>
        <c:idx val="1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</c:pivotFmt>
    </c:pivotFmts>
    <c:plotArea>
      <c:layout>
        <c:manualLayout>
          <c:layoutTarget val="inner"/>
          <c:xMode val="edge"/>
          <c:yMode val="edge"/>
          <c:x val="2.9952367065227959E-2"/>
          <c:y val="6.821959755030621E-2"/>
          <c:w val="0.95307232429279676"/>
          <c:h val="0.77481430446194233"/>
        </c:manualLayout>
      </c:layout>
      <c:lineChart>
        <c:grouping val="standard"/>
        <c:varyColors val="0"/>
        <c:ser>
          <c:idx val="0"/>
          <c:order val="0"/>
          <c:tx>
            <c:strRef>
              <c:f>Sheet2!$B$4:$B$5</c:f>
              <c:strCache>
                <c:ptCount val="1"/>
                <c:pt idx="0">
                  <c:v>3.03 Inflation, annual % change*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Sheet2!$B$6:$B$15</c:f>
              <c:numCache>
                <c:formatCode>General</c:formatCode>
                <c:ptCount val="9"/>
                <c:pt idx="0">
                  <c:v>3</c:v>
                </c:pt>
                <c:pt idx="1">
                  <c:v>3.6</c:v>
                </c:pt>
                <c:pt idx="2">
                  <c:v>2.1059999999999999</c:v>
                </c:pt>
                <c:pt idx="3">
                  <c:v>5.4</c:v>
                </c:pt>
                <c:pt idx="4">
                  <c:v>0.6</c:v>
                </c:pt>
                <c:pt idx="5">
                  <c:v>1.7</c:v>
                </c:pt>
                <c:pt idx="6">
                  <c:v>3.2</c:v>
                </c:pt>
                <c:pt idx="7">
                  <c:v>1.6639999999999999</c:v>
                </c:pt>
                <c:pt idx="8">
                  <c:v>2.105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236-4D09-8359-44561E233BB1}"/>
            </c:ext>
          </c:extLst>
        </c:ser>
        <c:ser>
          <c:idx val="1"/>
          <c:order val="1"/>
          <c:tx>
            <c:strRef>
              <c:f>Sheet2!$C$4:$C$5</c:f>
              <c:strCache>
                <c:ptCount val="1"/>
                <c:pt idx="0">
                  <c:v>8.06 Soundness of banks, 1-7 (best)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Sheet2!$C$6:$C$15</c:f>
              <c:numCache>
                <c:formatCode>General</c:formatCode>
                <c:ptCount val="9"/>
                <c:pt idx="0">
                  <c:v>5.8113035770000003</c:v>
                </c:pt>
                <c:pt idx="1">
                  <c:v>5.9064940999999997</c:v>
                </c:pt>
                <c:pt idx="2">
                  <c:v>5.8754808179999998</c:v>
                </c:pt>
                <c:pt idx="3">
                  <c:v>5.6772111430000001</c:v>
                </c:pt>
                <c:pt idx="4">
                  <c:v>5.7008640289999999</c:v>
                </c:pt>
                <c:pt idx="5">
                  <c:v>5.8924844199999997</c:v>
                </c:pt>
                <c:pt idx="6">
                  <c:v>5.7240133909999997</c:v>
                </c:pt>
                <c:pt idx="7">
                  <c:v>5.6707468050000003</c:v>
                </c:pt>
                <c:pt idx="8">
                  <c:v>5.7044531520000001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236-4D09-8359-44561E233BB1}"/>
            </c:ext>
          </c:extLst>
        </c:ser>
        <c:ser>
          <c:idx val="2"/>
          <c:order val="2"/>
          <c:tx>
            <c:strRef>
              <c:f>Sheet2!$D$4:$D$5</c:f>
              <c:strCache>
                <c:ptCount val="1"/>
                <c:pt idx="0">
                  <c:v>GDP per capita (US$)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Sheet2!$A$6:$A$15</c:f>
              <c:strCache>
                <c:ptCount val="9"/>
                <c:pt idx="0">
                  <c:v>2006-2007</c:v>
                </c:pt>
                <c:pt idx="1">
                  <c:v>2007-2008</c:v>
                </c:pt>
                <c:pt idx="2">
                  <c:v>2008-2009</c:v>
                </c:pt>
                <c:pt idx="3">
                  <c:v>2009-2010</c:v>
                </c:pt>
                <c:pt idx="4">
                  <c:v>2010-2011</c:v>
                </c:pt>
                <c:pt idx="5">
                  <c:v>2011-2012</c:v>
                </c:pt>
                <c:pt idx="6">
                  <c:v>2012-2013</c:v>
                </c:pt>
                <c:pt idx="7">
                  <c:v>2013-2014</c:v>
                </c:pt>
                <c:pt idx="8">
                  <c:v>2014-2015</c:v>
                </c:pt>
              </c:strCache>
            </c:strRef>
          </c:cat>
          <c:val>
            <c:numRef>
              <c:f>Sheet2!$D$6:$D$15</c:f>
              <c:numCache>
                <c:formatCode>General</c:formatCode>
                <c:ptCount val="9"/>
                <c:pt idx="2">
                  <c:v>6947.643</c:v>
                </c:pt>
                <c:pt idx="3">
                  <c:v>8140.674</c:v>
                </c:pt>
                <c:pt idx="4">
                  <c:v>6896.7389999999996</c:v>
                </c:pt>
                <c:pt idx="5">
                  <c:v>8423.1759999999995</c:v>
                </c:pt>
                <c:pt idx="6">
                  <c:v>9699.6949999999997</c:v>
                </c:pt>
                <c:pt idx="7">
                  <c:v>10304.173000000001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236-4D09-8359-44561E233B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3600559"/>
        <c:axId val="680487087"/>
      </c:lineChart>
      <c:catAx>
        <c:axId val="563600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487087"/>
        <c:crosses val="autoZero"/>
        <c:auto val="1"/>
        <c:lblAlgn val="ctr"/>
        <c:lblOffset val="100"/>
        <c:noMultiLvlLbl val="0"/>
      </c:catAx>
      <c:valAx>
        <c:axId val="680487087"/>
        <c:scaling>
          <c:logBase val="2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6005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265201224846895"/>
          <c:y val="0.91025131233595791"/>
          <c:w val="0.73558581219014285"/>
          <c:h val="8.7235126859142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DengXian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DengXian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DengXian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DengXian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DengXian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DengXian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DengXian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DengXian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DengXian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DengXian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DengXian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DengXian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DengXian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DengXian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DengXian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DengXian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DengXian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DengXian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DengXian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DengXian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DengXian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DengXian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DengXian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DengXian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DengXian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DengXian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Tan, Choon Wah (Call Centre)</dc:creator>
  <cp:keywords/>
  <dc:description/>
  <cp:lastModifiedBy>Kevin Tan, Choon Wah (Call Centre)</cp:lastModifiedBy>
  <cp:revision>12</cp:revision>
  <dcterms:created xsi:type="dcterms:W3CDTF">2017-09-17T03:28:00Z</dcterms:created>
  <dcterms:modified xsi:type="dcterms:W3CDTF">2017-09-17T13:46:00Z</dcterms:modified>
</cp:coreProperties>
</file>