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ind w:left="1843" w:firstLine="2268"/>
        <w:jc w:val="both"/>
        <w:rPr>
          <w:rFonts w:ascii="Verdana" w:hAnsi="Verdana"/>
          <w:sz w:val="20"/>
          <w:szCs w:val="20"/>
          <w:lang w:val="es-ES"/>
        </w:rPr>
      </w:pPr>
      <w:r>
        <w:rPr>
          <w:rFonts w:ascii="Verdana" w:hAnsi="Verdana"/>
          <w:b/>
          <w:bCs/>
          <w:sz w:val="20"/>
          <w:szCs w:val="20"/>
          <w:lang w:val="es-ES"/>
        </w:rPr>
        <w:t xml:space="preserve">                     ORD. N°SE07-120 - 2026.</w:t>
      </w:r>
    </w:p>
    <w:p>
      <w:pPr>
        <w:ind w:left="5529"/>
        <w:jc w:val="both"/>
        <w:rPr>
          <w:rFonts w:ascii="Verdana" w:hAnsi="Verdana"/>
          <w:sz w:val="20"/>
          <w:szCs w:val="20"/>
          <w:lang w:val="es-ES"/>
        </w:rPr>
      </w:pPr>
      <w:r>
        <w:rPr>
          <w:rFonts w:ascii="Verdana" w:hAnsi="Verdana"/>
          <w:b/>
          <w:bCs/>
          <w:sz w:val="20"/>
          <w:szCs w:val="20"/>
          <w:lang w:val="es-ES"/>
        </w:rPr>
        <w:t xml:space="preserve">ANT.:</w:t>
      </w:r>
      <w:r>
        <w:rPr>
          <w:rFonts w:ascii="Verdana" w:hAnsi="Verdana"/>
          <w:sz w:val="20"/>
          <w:szCs w:val="20"/>
          <w:lang w:val="es-ES"/>
        </w:rPr>
        <w:t xml:space="preserve"> Decreto Ley N°2695 de 1979; Dictamen E472530/2024, de la Contraloría General de la República, sobre aplicación del procedimiento de regularización contemplado en el Decreto Ley N°2695 de 1979, aclara Dictámenes N°42.084 de 2017 y complementa Dictámenes N°s 11.662, de 1985, y 26.443 de 1987, en los términos que se indican.</w:t>
      </w:r>
    </w:p>
    <w:p>
      <w:pPr>
        <w:ind w:left="5529"/>
        <w:jc w:val="both"/>
        <w:rPr>
          <w:rFonts w:ascii="Verdana" w:hAnsi="Verdana"/>
          <w:sz w:val="20"/>
          <w:szCs w:val="20"/>
          <w:lang w:val="es-ES"/>
        </w:rPr>
      </w:pPr>
      <w:r>
        <w:rPr>
          <w:rFonts w:ascii="Verdana" w:hAnsi="Verdana"/>
          <w:b/>
          <w:bCs/>
          <w:sz w:val="20"/>
          <w:szCs w:val="20"/>
          <w:lang w:val="es-ES"/>
        </w:rPr>
        <w:t xml:space="preserve">MAT.:</w:t>
      </w:r>
      <w:r>
        <w:rPr>
          <w:rFonts w:ascii="Verdana" w:hAnsi="Verdana"/>
          <w:sz w:val="20"/>
          <w:szCs w:val="20"/>
          <w:lang w:val="es-ES"/>
        </w:rPr>
        <w:t xml:space="preserve"> Solicita información que indica.</w:t>
      </w:r>
    </w:p>
    <w:p>
      <w:pPr>
        <w:ind w:left="5529"/>
        <w:jc w:val="both"/>
        <w:rPr>
          <w:rFonts w:ascii="Verdana" w:hAnsi="Verdana"/>
          <w:sz w:val="20"/>
          <w:szCs w:val="20"/>
          <w:lang w:val="es-ES"/>
        </w:rPr>
      </w:pPr>
      <w:r>
        <w:rPr>
          <w:rFonts w:ascii="Verdana" w:hAnsi="Verdana"/>
          <w:sz w:val="20"/>
          <w:szCs w:val="20"/>
          <w:lang w:val="es-ES"/>
        </w:rPr>
        <w:t xml:space="preserve">TALCA,</w:t>
      </w:r>
    </w:p>
    <w:p>
      <w:pPr>
        <w:ind w:left="5529"/>
        <w:jc w:val="both"/>
        <w:rPr>
          <w:rFonts w:ascii="Verdana" w:hAnsi="Verdana"/>
          <w:sz w:val="20"/>
          <w:szCs w:val="20"/>
          <w:lang w:val="es-ES"/>
        </w:rPr>
      </w:pPr>
    </w:p>
    <w:p>
      <w:pPr>
        <w:spacing w:line="240" w:lineRule="auto"/>
        <w:rPr>
          <w:rFonts w:ascii="Verdana" w:hAnsi="Verdana"/>
          <w:sz w:val="20"/>
          <w:szCs w:val="20"/>
          <w:lang w:val="es-ES"/>
        </w:rPr>
      </w:pPr>
      <w:r>
        <w:rPr>
          <w:rFonts w:ascii="Verdana" w:hAnsi="Verdana"/>
          <w:b/>
          <w:bCs/>
          <w:sz w:val="20"/>
          <w:szCs w:val="20"/>
          <w:lang w:val="es-ES"/>
        </w:rPr>
        <w:t xml:space="preserve">DE:</w:t>
      </w:r>
      <w:r>
        <w:rPr>
          <w:rFonts w:ascii="Verdana" w:hAnsi="Verdana"/>
          <w:b/>
          <w:bCs/>
          <w:sz w:val="20"/>
          <w:szCs w:val="20"/>
          <w:lang w:val="es-ES"/>
        </w:rPr>
        <w:tab/>
      </w:r>
      <w:r>
        <w:rPr>
          <w:rFonts w:ascii="Verdana" w:hAnsi="Verdana"/>
          <w:b/>
          <w:bCs/>
          <w:sz w:val="20"/>
          <w:szCs w:val="20"/>
          <w:lang w:val="es-ES"/>
        </w:rPr>
        <w:t xml:space="preserve">SECRETARIO REGIONAL MINISTERIAL DE BIENES NACIONALES REGIÓN DEL MAULE.</w:t>
      </w:r>
    </w:p>
    <w:p>
      <w:pPr>
        <w:spacing w:line="240" w:lineRule="auto"/>
        <w:rPr>
          <w:rFonts w:ascii="Verdana" w:hAnsi="Verdana"/>
          <w:sz w:val="20"/>
          <w:szCs w:val="20"/>
          <w:lang w:val="es-ES"/>
        </w:rPr>
      </w:pPr>
      <w:r>
        <w:rPr>
          <w:rFonts w:ascii="Verdana" w:hAnsi="Verdana"/>
          <w:b/>
          <w:bCs/>
          <w:sz w:val="20"/>
          <w:szCs w:val="20"/>
          <w:lang w:val="es-ES"/>
        </w:rPr>
        <w:t xml:space="preserve">A:</w:t>
      </w:r>
      <w:r>
        <w:rPr>
          <w:rFonts w:ascii="Verdana" w:hAnsi="Verdana"/>
          <w:sz w:val="20"/>
          <w:szCs w:val="20"/>
          <w:lang w:val="es-ES"/>
        </w:rPr>
        <w:tab/>
      </w:r>
      <w:r>
        <w:rPr>
          <w:rFonts w:ascii="Verdana" w:hAnsi="Verdana"/>
          <w:b/>
          <w:bCs/>
          <w:sz w:val="20"/>
          <w:szCs w:val="20"/>
          <w:lang w:val="es-ES"/>
        </w:rPr>
        <w:t xml:space="preserve">DIRECTOR DE OBRAS ILUSTRE MUNICIPALIDAD DE VICHUQUÉN.</w:t>
      </w:r>
    </w:p>
    <w:p>
      <w:pPr>
        <w:spacing w:line="240" w:lineRule="auto"/>
        <w:rPr>
          <w:rFonts w:ascii="Verdana" w:hAnsi="Verdana"/>
          <w:sz w:val="20"/>
          <w:szCs w:val="20"/>
          <w:lang w:val="es-ES"/>
        </w:rPr>
      </w:pPr>
    </w:p>
    <w:p>
      <w:pPr>
        <w:spacing w:line="240" w:lineRule="auto"/>
        <w:ind w:firstLine="708"/>
        <w:jc w:val="both"/>
        <w:rPr>
          <w:rFonts w:ascii="Verdana" w:hAnsi="Verdana"/>
          <w:sz w:val="20"/>
          <w:szCs w:val="20"/>
          <w:lang w:val="es-ES"/>
        </w:rPr>
      </w:pPr>
      <w:r>
        <w:rPr>
          <w:rFonts w:ascii="Verdana" w:hAnsi="Verdana"/>
          <w:sz w:val="20"/>
          <w:szCs w:val="20"/>
          <w:lang w:val="es-ES"/>
        </w:rPr>
        <w:t xml:space="preserve">Junto con saludar cordialmente, por medio del presente, informo que los solicitantes indicados a continuación, han presentado solicitud de regularización de la pequeña propiedad raíz, conforme a las disposiciones contenidas en el Decreto Ley N°2695 de 1979, ante esta Secretaría Regional Ministerial.</w:t>
      </w:r>
    </w:p>
    <w:p>
      <w:pPr>
        <w:spacing w:line="240" w:lineRule="auto"/>
        <w:ind w:firstLine="708"/>
        <w:jc w:val="both"/>
        <w:rPr>
          <w:rFonts w:ascii="Verdana" w:hAnsi="Verdana"/>
          <w:sz w:val="20"/>
          <w:szCs w:val="20"/>
          <w:lang w:val="es-ES"/>
        </w:rPr>
      </w:pPr>
    </w:p>
    <w:tbl>
      <w:tblPr>
        <w:tblW w:w="8926" w:type="dxa"/>
        <w:tblCellMar>
          <w:left w:w="70" w:type="dxa"/>
          <w:right w:w="70" w:type="dxa"/>
        </w:tblCellMar>
        <w:tblLook w:val="04A0" w:firstRow="1" w:lastRow="0" w:firstColumn="1" w:lastColumn="0" w:noHBand="0" w:noVBand="1"/>
      </w:tblPr>
      <w:tblGrid>
        <w:gridCol w:w="932"/>
        <w:gridCol w:w="1574"/>
        <w:gridCol w:w="1565"/>
        <w:gridCol w:w="1644"/>
        <w:gridCol w:w="1573"/>
        <w:gridCol w:w="1638"/>
      </w:tblGrid>
      <w:tr>
        <w:trPr>
          <w:trHeight w:val="300"/>
        </w:trPr>
        <w:tc>
          <w:tcPr>
            <w:tcW w:w="932" w:type="dxa"/>
            <w:tcBorders>
              <w:top w:val="single" w:sz="4" w:space="0" w:color="auto"/>
              <w:left w:val="single" w:sz="4" w:space="0" w:color="auto"/>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EXP.</w:t>
            </w:r>
          </w:p>
        </w:tc>
        <w:tc>
          <w:tcPr>
            <w:tcW w:w="157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RUT</w:t>
            </w:r>
          </w:p>
        </w:tc>
        <w:tc>
          <w:tcPr>
            <w:tcW w:w="1565"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SOLICITANTE</w:t>
            </w:r>
          </w:p>
        </w:tc>
        <w:tc>
          <w:tcPr>
            <w:tcW w:w="164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UBICACIÓN</w:t>
            </w:r>
          </w:p>
        </w:tc>
        <w:tc>
          <w:tcPr>
            <w:tcW w:w="1573"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ROL</w:t>
            </w:r>
          </w:p>
        </w:tc>
        <w:tc>
          <w:tcPr>
            <w:tcW w:w="1638"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INSCRIPCIÓN</w:t>
            </w:r>
          </w:p>
        </w:tc>
      </w:tr>
      <w:tr>
        <w:trPr>
          <w:trHeight w:val="300"/>
        </w:trPr>
        <w:tc>
          <w:tcPr>
            <w:tcW w:w="932" w:type="dxa"/>
            <w:tcBorders>
              <w:top w:val="single" w:sz="4" w:space="0" w:color="auto"/>
              <w:left w:val="single" w:sz="4" w:space="0" w:color="auto"/>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231374</w:t>
            </w:r>
          </w:p>
        </w:tc>
        <w:tc>
          <w:tcPr>
            <w:tcW w:w="157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11.370.780-1</w:t>
            </w:r>
          </w:p>
        </w:tc>
        <w:tc>
          <w:tcPr>
            <w:tcW w:w="1565"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FRESIA VIVIANA RAMÍREZ GONZÁLEZ</w:t>
            </w:r>
          </w:p>
        </w:tc>
        <w:tc>
          <w:tcPr>
            <w:tcW w:w="164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PASAJE INTERIOR S/N, BOYERUCA, VICHUQUÉN.</w:t>
            </w:r>
          </w:p>
        </w:tc>
        <w:tc>
          <w:tcPr>
            <w:tcW w:w="1573"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ROL N°163-85, VICHUQUÉN.</w:t>
            </w:r>
          </w:p>
        </w:tc>
        <w:tc>
          <w:tcPr>
            <w:tcW w:w="1638"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FOJAS 1.625, Nº 432 DEL AÑO 2015 DEL REGISTRO DE PROPIEDAD DEL CBR DE LICANTÉN.</w:t>
            </w:r>
          </w:p>
        </w:tc>
      </w:tr>
      <w:tr>
        <w:trPr>
          <w:trHeight w:val="300"/>
        </w:trPr>
        <w:tc>
          <w:tcPr>
            <w:tcW w:w="932" w:type="dxa"/>
            <w:tcBorders>
              <w:top w:val="single" w:sz="4" w:space="0" w:color="auto"/>
              <w:left w:val="single" w:sz="4" w:space="0" w:color="auto"/>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209848</w:t>
            </w:r>
          </w:p>
        </w:tc>
        <w:tc>
          <w:tcPr>
            <w:tcW w:w="157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12.887.829-7</w:t>
            </w:r>
          </w:p>
        </w:tc>
        <w:tc>
          <w:tcPr>
            <w:tcW w:w="1565"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ISABEL FRANCISCA RÍOS CUBILLOS</w:t>
            </w:r>
          </w:p>
        </w:tc>
        <w:tc>
          <w:tcPr>
            <w:tcW w:w="164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LOS JUNQUILLOS S/N, KM. 5100, VICHUQUÉN.</w:t>
            </w:r>
          </w:p>
        </w:tc>
        <w:tc>
          <w:tcPr>
            <w:tcW w:w="1573"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ROL N°132-48, VICHUQUÉN.</w:t>
            </w:r>
          </w:p>
        </w:tc>
        <w:tc>
          <w:tcPr>
            <w:tcW w:w="1638"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FOJAS 106, Nº 60 DEL AÑO 2016 DEL REGISTRO DE PROPIEDAD DEL CBR DE LICANTÉN.</w:t>
            </w:r>
          </w:p>
        </w:tc>
      </w:tr>
      <w:tr>
        <w:trPr>
          <w:trHeight w:val="300"/>
        </w:trPr>
        <w:tc>
          <w:tcPr>
            <w:tcW w:w="932" w:type="dxa"/>
            <w:tcBorders>
              <w:top w:val="single" w:sz="4" w:space="0" w:color="auto"/>
              <w:left w:val="single" w:sz="4" w:space="0" w:color="auto"/>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234047</w:t>
            </w:r>
          </w:p>
        </w:tc>
        <w:tc>
          <w:tcPr>
            <w:tcW w:w="157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15.130.597-0</w:t>
            </w:r>
          </w:p>
        </w:tc>
        <w:tc>
          <w:tcPr>
            <w:tcW w:w="1565"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MANUEL ANTONIO CÁCERES SEPÚLVEDA</w:t>
            </w:r>
          </w:p>
        </w:tc>
        <w:tc>
          <w:tcPr>
            <w:tcW w:w="1644"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RUTA J60 LIPIMÁVIDA, VICHUQUÉN.</w:t>
            </w:r>
          </w:p>
        </w:tc>
        <w:tc>
          <w:tcPr>
            <w:tcW w:w="1573"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ROL N°151-487, VICHUQUÉN.</w:t>
            </w:r>
          </w:p>
        </w:tc>
        <w:tc>
          <w:tcPr>
            <w:tcW w:w="1638" w:type="dxa"/>
            <w:tcBorders>
              <w:top w:val="single" w:sz="4" w:space="0" w:color="auto"/>
              <w:left w:val="nil"/>
              <w:bottom w:val="single" w:sz="4" w:space="0" w:color="auto"/>
              <w:right w:val="single" w:sz="4" w:space="0" w:color="auto"/>
            </w:tcBorders>
          </w:tcPr>
          <w:p>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FOJAS 2.869, Nº 945 DEL AÑO 2015 DEL REGISTRO DE PROPIEDAD DEL CBR DE LICANTÉN.</w:t>
            </w:r>
          </w:p>
        </w:tc>
      </w:tr>
    </w:tbl>
    <w:p>
      <w:pPr>
        <w:spacing w:line="240" w:lineRule="auto"/>
        <w:ind w:firstLine="708"/>
        <w:jc w:val="both"/>
        <w:rPr>
          <w:rFonts w:ascii="Verdana" w:hAnsi="Verdana"/>
          <w:sz w:val="20"/>
          <w:szCs w:val="20"/>
          <w:lang w:val="es-ES"/>
        </w:rPr>
      </w:pPr>
    </w:p>
    <w:p>
      <w:pPr>
        <w:spacing w:line="240" w:lineRule="auto"/>
        <w:ind w:firstLine="708"/>
        <w:jc w:val="both"/>
        <w:rPr>
          <w:rFonts w:ascii="Verdana" w:hAnsi="Verdana"/>
          <w:sz w:val="20"/>
          <w:szCs w:val="20"/>
          <w:lang w:val="es-ES"/>
        </w:rPr>
      </w:pPr>
      <w:r>
        <w:rPr>
          <w:rFonts w:ascii="Verdana" w:hAnsi="Verdana"/>
          <w:sz w:val="20"/>
          <w:szCs w:val="20"/>
          <w:lang w:val="es-ES"/>
        </w:rPr>
        <w:t xml:space="preserve">Al respecto, en relación a la aplicación del procedimiento de regularización contemplado en el Decreto Ley N’ 2695 de 1979, la Contraloría General de la República emitió el Dictamen N° E472530/2024, que aclara Dictamen N°42.084, de 2017, y complementa Dictámenes N°s11.662, de 1985, y 26.443, de 1987, estableciendo el derecho a regularización en los términos que dicho pronunciamiento establece.</w:t>
      </w:r>
    </w:p>
    <w:p>
      <w:pPr>
        <w:spacing w:line="240" w:lineRule="auto"/>
        <w:ind w:firstLine="708"/>
        <w:jc w:val="both"/>
        <w:rPr>
          <w:rFonts w:ascii="Verdana" w:hAnsi="Verdana"/>
          <w:sz w:val="20"/>
          <w:szCs w:val="20"/>
          <w:lang w:val="es-ES"/>
        </w:rPr>
      </w:pPr>
      <w:r>
        <w:rPr>
          <w:rFonts w:ascii="Verdana" w:hAnsi="Verdana"/>
          <w:sz w:val="20"/>
          <w:szCs w:val="20"/>
          <w:lang w:val="es-ES"/>
        </w:rPr>
        <w:t xml:space="preserve">En virtud del principio de coordinación que debe existir entre los diversos órganos de la Administración del Estado, este Servicio debe requerir información a entidades con potestad urbanística, y en consideración a lo señalado, solicitamos a usted, tenga a bien informar lo siguiente:</w:t>
      </w:r>
    </w:p>
    <w:p>
      <w:pPr>
        <w:numPr>
          <w:ilvl w:val="0"/>
          <w:numId w:val="1"/>
        </w:numPr>
        <w:spacing w:line="240" w:lineRule="auto"/>
        <w:ind w:left="0" w:firstLine="0"/>
        <w:jc w:val="both"/>
        <w:rPr>
          <w:rFonts w:ascii="Verdana" w:hAnsi="Verdana"/>
          <w:sz w:val="20"/>
          <w:szCs w:val="20"/>
          <w:lang w:val="es-ES"/>
        </w:rPr>
      </w:pPr>
      <w:r>
        <w:rPr>
          <w:rFonts w:ascii="Verdana" w:hAnsi="Verdana"/>
          <w:sz w:val="20"/>
          <w:szCs w:val="20"/>
          <w:lang w:val="es-ES"/>
        </w:rPr>
        <w:t xml:space="preserve">Si el inmueble objeto de regularización es parte de un </w:t>
      </w:r>
      <w:r>
        <w:rPr>
          <w:rFonts w:ascii="Verdana" w:hAnsi="Verdana"/>
          <w:i/>
          <w:iCs/>
          <w:sz w:val="20"/>
          <w:szCs w:val="20"/>
          <w:lang w:val="es-ES"/>
        </w:rPr>
        <w:t xml:space="preserve">loteo irregular o subdivisión de hecho que pueda generar un nuevo núcleo urbano.</w:t>
      </w:r>
    </w:p>
    <w:p>
      <w:pPr>
        <w:spacing w:line="240" w:lineRule="auto"/>
        <w:jc w:val="both"/>
        <w:rPr>
          <w:rFonts w:ascii="Verdana" w:hAnsi="Verdana"/>
          <w:sz w:val="20"/>
          <w:szCs w:val="20"/>
          <w:lang w:val="es-ES"/>
        </w:rPr>
      </w:pPr>
      <w:r>
        <w:rPr>
          <w:rFonts w:ascii="Verdana" w:hAnsi="Verdana"/>
          <w:sz w:val="20"/>
          <w:szCs w:val="20"/>
          <w:lang w:val="es-ES"/>
        </w:rPr>
        <w:t xml:space="preserve">Esto porque el dictamen N°E472530/2024 señala que “</w:t>
      </w:r>
      <w:r>
        <w:rPr>
          <w:rFonts w:ascii="Verdana" w:hAnsi="Verdana"/>
          <w:i/>
          <w:iCs/>
          <w:sz w:val="20"/>
          <w:szCs w:val="20"/>
          <w:lang w:val="es-ES"/>
        </w:rPr>
        <w:t xml:space="preserve">la no aplicación del artículo 55 de la LGUC a las regularizaciones de que trata el citado decreto ley N° 2.695, de 1979, implica que la generación de estos nuevos predios no esté sujeta a cabida de subdivisión -ya que tampoco esa generación predial se someterá a las reglas concernientes a dicha norma urbanística para los terrenos de que se trate, en particular, a las aprobaciones e informes favorables exigidos por aquel precepto para esas zonas-, ni a exigencias de urbanización, propias de esos procesos de división. En todo caso, tales excepciones, no aplican en los casos de loteos irregulares de predios rurales, pues ello conllevaría, en definitiva, una alteración significativa de la planificación territorial.”.</w:t>
      </w:r>
    </w:p>
    <w:p>
      <w:pPr>
        <w:numPr>
          <w:ilvl w:val="0"/>
          <w:numId w:val="1"/>
        </w:numPr>
        <w:spacing w:line="240" w:lineRule="auto"/>
        <w:ind w:left="0" w:firstLine="0"/>
        <w:jc w:val="both"/>
        <w:rPr>
          <w:rFonts w:ascii="Verdana" w:hAnsi="Verdana"/>
          <w:sz w:val="20"/>
          <w:szCs w:val="20"/>
          <w:lang w:val="es-ES"/>
        </w:rPr>
      </w:pPr>
      <w:r>
        <w:rPr>
          <w:rFonts w:ascii="Verdana" w:hAnsi="Verdana"/>
          <w:sz w:val="20"/>
          <w:szCs w:val="20"/>
          <w:lang w:val="es-ES"/>
        </w:rPr>
        <w:t xml:space="preserve">En el caso de que el inmueble objeto de regularización, en vuestra opinión técnica urbanística, sea parte de un </w:t>
      </w:r>
      <w:r>
        <w:rPr>
          <w:rFonts w:ascii="Verdana" w:hAnsi="Verdana"/>
          <w:i/>
          <w:iCs/>
          <w:sz w:val="20"/>
          <w:szCs w:val="20"/>
          <w:lang w:val="es-ES"/>
        </w:rPr>
        <w:t xml:space="preserve">loteo irregular o subdivisión de hecho que pueda generar un nuevo núcleo urbano, </w:t>
      </w:r>
      <w:r>
        <w:rPr>
          <w:rFonts w:ascii="Verdana" w:hAnsi="Verdana"/>
          <w:sz w:val="20"/>
          <w:szCs w:val="20"/>
          <w:lang w:val="es-ES"/>
        </w:rPr>
        <w:t xml:space="preserve">se solicita que usted señale si éste se ha acogido a las normas y procedimiento dispuesto en la Ley N° 20.234; y de ser efectivo esto último, si ha obtenido la recepción provisoria o definitiva por parte de la Dirección de Obras Municipales respectiva, en virtud a lo dispuesto en el artículo 4 inciso 17 de este mismo cuerpo normativo. Lo anterior, con el fin de dar curso o no a la solicitud de regularización presentada.</w:t>
      </w:r>
    </w:p>
    <w:p>
      <w:pPr>
        <w:numPr>
          <w:ilvl w:val="0"/>
          <w:numId w:val="1"/>
        </w:numPr>
        <w:spacing w:line="240" w:lineRule="auto"/>
        <w:ind w:left="0" w:firstLine="0"/>
        <w:jc w:val="both"/>
        <w:rPr>
          <w:rFonts w:ascii="Verdana" w:hAnsi="Verdana"/>
          <w:sz w:val="20"/>
          <w:szCs w:val="20"/>
          <w:lang w:val="es-ES"/>
        </w:rPr>
      </w:pPr>
      <w:r>
        <w:rPr>
          <w:rFonts w:ascii="Verdana" w:hAnsi="Verdana"/>
          <w:sz w:val="20"/>
          <w:szCs w:val="20"/>
          <w:lang w:val="es-ES"/>
        </w:rPr>
        <w:t xml:space="preserve">Por último, se solicita nos pueda informar cualquier otra situación que requiera especial consideración, en relación a la zona donde se ubica el inmueble.</w:t>
      </w:r>
    </w:p>
    <w:p>
      <w:pPr>
        <w:spacing w:line="240" w:lineRule="auto"/>
        <w:ind w:firstLine="461"/>
        <w:jc w:val="both"/>
        <w:rPr>
          <w:rFonts w:ascii="Verdana" w:hAnsi="Verdana"/>
          <w:sz w:val="20"/>
          <w:szCs w:val="20"/>
          <w:lang w:val="es-ES"/>
        </w:rPr>
      </w:pPr>
      <w:r>
        <w:rPr>
          <w:rFonts w:ascii="Verdana" w:hAnsi="Verdana"/>
          <w:sz w:val="20"/>
          <w:szCs w:val="20"/>
          <w:lang w:val="es-ES"/>
        </w:rPr>
        <w:t xml:space="preserve">Finalmente, y con el objeto de que pueda contar con la mayor cantidad de antecedentes para un correcto análisis, se adjuntan los siguientes antecedentes acompañados por los solicitantes: i) Certificado de Avalúo; ii) Certificado Informaciones Previas y iii) Inscripción conservatoria.</w:t>
      </w:r>
    </w:p>
    <w:p>
      <w:pPr>
        <w:spacing w:line="240" w:lineRule="auto"/>
        <w:ind w:firstLine="461"/>
        <w:jc w:val="both"/>
        <w:rPr>
          <w:rFonts w:ascii="Verdana" w:hAnsi="Verdana"/>
          <w:sz w:val="20"/>
          <w:szCs w:val="20"/>
          <w:lang w:val="es-ES"/>
        </w:rPr>
      </w:pPr>
      <w:r>
        <w:rPr>
          <w:rFonts w:ascii="Verdana" w:hAnsi="Verdana"/>
          <w:sz w:val="20"/>
          <w:szCs w:val="20"/>
          <w:lang w:val="es-ES"/>
        </w:rPr>
        <w:t xml:space="preserve">Saluda atenta y cordialmente a usted,</w:t>
      </w:r>
    </w:p>
    <w:p>
      <w:pPr>
        <w:spacing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p>
    <w:p>
      <w:pPr>
        <w:spacing w:after="0" w:line="240" w:lineRule="auto"/>
        <w:jc w:val="both"/>
        <w:rPr>
          <w:rFonts w:ascii="Verdana" w:hAnsi="Verdana"/>
          <w:sz w:val="20"/>
          <w:szCs w:val="20"/>
          <w:lang w:val="es-ES"/>
        </w:rPr>
      </w:pPr>
      <w:r>
        <w:rPr>
          <w:rFonts w:ascii="Verdana" w:hAnsi="Verdana"/>
          <w:sz w:val="20"/>
          <w:szCs w:val="20"/>
          <w:lang w:val="es-ES"/>
        </w:rPr>
        <w:t xml:space="preserve">FBP/MBM/KTU</w:t>
      </w:r>
    </w:p>
    <w:p>
      <w:pPr>
        <w:spacing w:after="0" w:line="240" w:lineRule="auto"/>
        <w:jc w:val="both"/>
        <w:rPr>
          <w:rFonts w:ascii="Verdana" w:hAnsi="Verdana"/>
          <w:sz w:val="20"/>
          <w:szCs w:val="20"/>
          <w:lang w:val="es-ES"/>
        </w:rPr>
      </w:pPr>
      <w:r>
        <w:rPr>
          <w:rFonts w:ascii="Verdana" w:hAnsi="Verdana"/>
          <w:u w:val="single"/>
          <w:sz w:val="20"/>
          <w:szCs w:val="20"/>
          <w:lang w:val="es-ES"/>
        </w:rPr>
        <w:t xml:space="preserve">DISTRIBUCIÓN</w:t>
      </w:r>
      <w:r>
        <w:rPr>
          <w:rFonts w:ascii="Verdana" w:hAnsi="Verdana"/>
          <w:sz w:val="20"/>
          <w:szCs w:val="20"/>
          <w:lang w:val="es-ES"/>
        </w:rPr>
        <w:t xml:space="preserve">: </w:t>
      </w:r>
    </w:p>
    <w:p>
      <w:pPr>
        <w:spacing w:after="0" w:line="240" w:lineRule="auto"/>
        <w:jc w:val="both"/>
        <w:rPr>
          <w:rFonts w:ascii="Verdana" w:hAnsi="Verdana"/>
          <w:sz w:val="20"/>
          <w:szCs w:val="20"/>
          <w:lang w:val="es-ES"/>
        </w:rPr>
      </w:pPr>
      <w:r>
        <w:rPr>
          <w:rFonts w:ascii="Verdana" w:hAnsi="Verdana"/>
          <w:sz w:val="20"/>
          <w:szCs w:val="20"/>
          <w:lang w:val="es-ES"/>
        </w:rPr>
        <w:t xml:space="preserve">Destinatario.</w:t>
      </w:r>
    </w:p>
    <w:p>
      <w:pPr>
        <w:spacing w:after="0" w:line="240" w:lineRule="auto"/>
        <w:jc w:val="both"/>
        <w:rPr>
          <w:rFonts w:ascii="Verdana" w:hAnsi="Verdana"/>
          <w:sz w:val="20"/>
          <w:szCs w:val="20"/>
          <w:lang w:val="es-ES"/>
        </w:rPr>
      </w:pPr>
      <w:r>
        <w:rPr>
          <w:rFonts w:ascii="Verdana" w:hAnsi="Verdana"/>
          <w:sz w:val="20"/>
          <w:szCs w:val="20"/>
          <w:lang w:val="es-ES"/>
        </w:rPr>
        <w:t xml:space="preserve">Expediente</w:t>
      </w:r>
    </w:p>
    <w:p>
      <w:pPr>
        <w:spacing w:after="0" w:line="240" w:lineRule="auto"/>
        <w:jc w:val="both"/>
        <w:rPr>
          <w:rFonts w:ascii="Verdana" w:hAnsi="Verdana"/>
          <w:sz w:val="20"/>
          <w:szCs w:val="20"/>
          <w:lang w:val="es-ES"/>
        </w:rPr>
      </w:pPr>
      <w:r>
        <w:rPr>
          <w:rFonts w:ascii="Verdana" w:hAnsi="Verdana"/>
          <w:sz w:val="20"/>
          <w:szCs w:val="20"/>
          <w:lang w:val="es-ES"/>
        </w:rPr>
        <w:t xml:space="preserve">Unidad de Regularización.</w:t>
      </w:r>
    </w:p>
    <w:sectPr>
      <w:headerReference w:type="default" r:id="rId7"/>
      <w:pgSz w:w="12240" w:h="18720" w:code="41"/>
      <w:pgMar w:top="1417" w:right="1701" w:bottom="2410"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B3DE5" w14:textId="77777777" w:rsidR="00700ADB" w:rsidRDefault="00700ADB">
      <w:pPr>
        <w:spacing w:after="0" w:line="240" w:lineRule="auto"/>
      </w:pPr>
      <w:r>
        <w:separator/>
      </w:r>
    </w:p>
  </w:endnote>
  <w:endnote w:type="continuationSeparator" w:id="0">
    <w:p w14:paraId="206576FE" w14:textId="77777777" w:rsidR="00700ADB" w:rsidRDefault="00700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B2EFA" w14:textId="77777777" w:rsidR="00700ADB" w:rsidRDefault="00700ADB">
      <w:pPr>
        <w:spacing w:after="0" w:line="240" w:lineRule="auto"/>
      </w:pPr>
      <w:r>
        <w:separator/>
      </w:r>
    </w:p>
  </w:footnote>
  <w:footnote w:type="continuationSeparator" w:id="0">
    <w:p w14:paraId="562614C3" w14:textId="77777777" w:rsidR="00700ADB" w:rsidRDefault="00700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28AC5" w14:textId="29461BCA" w:rsidR="008D0BE2" w:rsidRPr="004D0752" w:rsidRDefault="00FF6512" w:rsidP="004542A8">
    <w:pPr>
      <w:pStyle w:val="Encabezado"/>
      <w:rPr>
        <w:rFonts w:ascii="Gill Sans MT" w:eastAsia="Times New Roman" w:hAnsi="Gill Sans MT" w:cs="Times New Roman"/>
        <w:color w:val="000000"/>
        <w:sz w:val="24"/>
        <w:szCs w:val="20"/>
        <w:lang w:val="es-ES" w:eastAsia="es-ES"/>
      </w:rPr>
    </w:pPr>
    <w:r>
      <w:rPr>
        <w:noProof/>
        <w:lang w:eastAsia="es-CL"/>
      </w:rPr>
      <w:drawing>
        <wp:inline distT="0" distB="0" distL="0" distR="0" wp14:anchorId="01A4EB3B" wp14:editId="2EE0D78E">
          <wp:extent cx="1341765" cy="1219200"/>
          <wp:effectExtent l="0" t="0" r="0" b="0"/>
          <wp:docPr id="5" name="Imagen 5" descr="C:\Users\jdiazb\AppData\Local\Microsoft\Windows\INetCache\Content.Word\Color_MinBie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diazb\AppData\Local\Microsoft\Windows\INetCache\Content.Word\Color_MinBien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7687" cy="123366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0035A"/>
    <w:multiLevelType w:val="hybridMultilevel"/>
    <w:tmpl w:val="936868C4"/>
    <w:lvl w:ilvl="0" w:tplc="9B36F55C">
      <w:start w:val="1"/>
      <w:numFmt w:val="lowerLetter"/>
      <w:lvlText w:val="%1)"/>
      <w:lvlJc w:val="left"/>
      <w:pPr>
        <w:ind w:left="461" w:hanging="227"/>
      </w:pPr>
      <w:rPr>
        <w:rFonts w:hint="default"/>
        <w:spacing w:val="-1"/>
        <w:w w:val="87"/>
        <w:lang w:val="es-ES" w:eastAsia="en-US" w:bidi="ar-SA"/>
      </w:rPr>
    </w:lvl>
    <w:lvl w:ilvl="1" w:tplc="53869670">
      <w:numFmt w:val="bullet"/>
      <w:lvlText w:val="•"/>
      <w:lvlJc w:val="left"/>
      <w:pPr>
        <w:ind w:left="1470" w:hanging="227"/>
      </w:pPr>
      <w:rPr>
        <w:rFonts w:hint="default"/>
        <w:lang w:val="es-ES" w:eastAsia="en-US" w:bidi="ar-SA"/>
      </w:rPr>
    </w:lvl>
    <w:lvl w:ilvl="2" w:tplc="BB4022F8">
      <w:numFmt w:val="bullet"/>
      <w:lvlText w:val="•"/>
      <w:lvlJc w:val="left"/>
      <w:pPr>
        <w:ind w:left="2480" w:hanging="227"/>
      </w:pPr>
      <w:rPr>
        <w:rFonts w:hint="default"/>
        <w:lang w:val="es-ES" w:eastAsia="en-US" w:bidi="ar-SA"/>
      </w:rPr>
    </w:lvl>
    <w:lvl w:ilvl="3" w:tplc="0E567DB6">
      <w:numFmt w:val="bullet"/>
      <w:lvlText w:val="•"/>
      <w:lvlJc w:val="left"/>
      <w:pPr>
        <w:ind w:left="3490" w:hanging="227"/>
      </w:pPr>
      <w:rPr>
        <w:rFonts w:hint="default"/>
        <w:lang w:val="es-ES" w:eastAsia="en-US" w:bidi="ar-SA"/>
      </w:rPr>
    </w:lvl>
    <w:lvl w:ilvl="4" w:tplc="1F2A0598">
      <w:numFmt w:val="bullet"/>
      <w:lvlText w:val="•"/>
      <w:lvlJc w:val="left"/>
      <w:pPr>
        <w:ind w:left="4500" w:hanging="227"/>
      </w:pPr>
      <w:rPr>
        <w:rFonts w:hint="default"/>
        <w:lang w:val="es-ES" w:eastAsia="en-US" w:bidi="ar-SA"/>
      </w:rPr>
    </w:lvl>
    <w:lvl w:ilvl="5" w:tplc="D328372A">
      <w:numFmt w:val="bullet"/>
      <w:lvlText w:val="•"/>
      <w:lvlJc w:val="left"/>
      <w:pPr>
        <w:ind w:left="5510" w:hanging="227"/>
      </w:pPr>
      <w:rPr>
        <w:rFonts w:hint="default"/>
        <w:lang w:val="es-ES" w:eastAsia="en-US" w:bidi="ar-SA"/>
      </w:rPr>
    </w:lvl>
    <w:lvl w:ilvl="6" w:tplc="A59AAF2C">
      <w:numFmt w:val="bullet"/>
      <w:lvlText w:val="•"/>
      <w:lvlJc w:val="left"/>
      <w:pPr>
        <w:ind w:left="6520" w:hanging="227"/>
      </w:pPr>
      <w:rPr>
        <w:rFonts w:hint="default"/>
        <w:lang w:val="es-ES" w:eastAsia="en-US" w:bidi="ar-SA"/>
      </w:rPr>
    </w:lvl>
    <w:lvl w:ilvl="7" w:tplc="BEC41CA6">
      <w:numFmt w:val="bullet"/>
      <w:lvlText w:val="•"/>
      <w:lvlJc w:val="left"/>
      <w:pPr>
        <w:ind w:left="7530" w:hanging="227"/>
      </w:pPr>
      <w:rPr>
        <w:rFonts w:hint="default"/>
        <w:lang w:val="es-ES" w:eastAsia="en-US" w:bidi="ar-SA"/>
      </w:rPr>
    </w:lvl>
    <w:lvl w:ilvl="8" w:tplc="7F44C66E">
      <w:numFmt w:val="bullet"/>
      <w:lvlText w:val="•"/>
      <w:lvlJc w:val="left"/>
      <w:pPr>
        <w:ind w:left="8540" w:hanging="227"/>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C7"/>
    <w:rsid w:val="00044912"/>
    <w:rsid w:val="0004596F"/>
    <w:rsid w:val="0006359B"/>
    <w:rsid w:val="0006532B"/>
    <w:rsid w:val="00067D66"/>
    <w:rsid w:val="00071ABA"/>
    <w:rsid w:val="00077293"/>
    <w:rsid w:val="00080F9F"/>
    <w:rsid w:val="00082E8B"/>
    <w:rsid w:val="000871AE"/>
    <w:rsid w:val="000956A6"/>
    <w:rsid w:val="000A3E3B"/>
    <w:rsid w:val="000B1A73"/>
    <w:rsid w:val="000B7CE2"/>
    <w:rsid w:val="000F295B"/>
    <w:rsid w:val="000F7A17"/>
    <w:rsid w:val="00122425"/>
    <w:rsid w:val="00122507"/>
    <w:rsid w:val="00135A80"/>
    <w:rsid w:val="0019703F"/>
    <w:rsid w:val="001C0EC9"/>
    <w:rsid w:val="001D7949"/>
    <w:rsid w:val="001E67C7"/>
    <w:rsid w:val="00202348"/>
    <w:rsid w:val="00211480"/>
    <w:rsid w:val="00235910"/>
    <w:rsid w:val="002628A2"/>
    <w:rsid w:val="00280274"/>
    <w:rsid w:val="00294D51"/>
    <w:rsid w:val="002A56BC"/>
    <w:rsid w:val="002B3DE9"/>
    <w:rsid w:val="002C1713"/>
    <w:rsid w:val="002E0CE1"/>
    <w:rsid w:val="002E1F56"/>
    <w:rsid w:val="003222CB"/>
    <w:rsid w:val="003244F1"/>
    <w:rsid w:val="00324CC7"/>
    <w:rsid w:val="0033123E"/>
    <w:rsid w:val="00335AF4"/>
    <w:rsid w:val="003369B3"/>
    <w:rsid w:val="00347F1B"/>
    <w:rsid w:val="00350931"/>
    <w:rsid w:val="0035596E"/>
    <w:rsid w:val="00376A3B"/>
    <w:rsid w:val="00381713"/>
    <w:rsid w:val="003C5D0C"/>
    <w:rsid w:val="003D795B"/>
    <w:rsid w:val="003F3CEC"/>
    <w:rsid w:val="004002D8"/>
    <w:rsid w:val="004542A8"/>
    <w:rsid w:val="0046142A"/>
    <w:rsid w:val="00497E6B"/>
    <w:rsid w:val="004B732F"/>
    <w:rsid w:val="004D30A9"/>
    <w:rsid w:val="004F637B"/>
    <w:rsid w:val="004F69AB"/>
    <w:rsid w:val="0050404F"/>
    <w:rsid w:val="00510BB3"/>
    <w:rsid w:val="0051169D"/>
    <w:rsid w:val="0053567D"/>
    <w:rsid w:val="00577347"/>
    <w:rsid w:val="005A5109"/>
    <w:rsid w:val="005C3DA9"/>
    <w:rsid w:val="005C4238"/>
    <w:rsid w:val="00603296"/>
    <w:rsid w:val="006033EE"/>
    <w:rsid w:val="00663511"/>
    <w:rsid w:val="00685183"/>
    <w:rsid w:val="006C6BC4"/>
    <w:rsid w:val="006C7397"/>
    <w:rsid w:val="00700ADB"/>
    <w:rsid w:val="00700B0E"/>
    <w:rsid w:val="00705619"/>
    <w:rsid w:val="00715C55"/>
    <w:rsid w:val="007430F3"/>
    <w:rsid w:val="0074786A"/>
    <w:rsid w:val="007574BC"/>
    <w:rsid w:val="00773C22"/>
    <w:rsid w:val="007A458C"/>
    <w:rsid w:val="007A4CAA"/>
    <w:rsid w:val="007A78C9"/>
    <w:rsid w:val="007B778D"/>
    <w:rsid w:val="007C2F35"/>
    <w:rsid w:val="007E185A"/>
    <w:rsid w:val="007E1DDA"/>
    <w:rsid w:val="008005F1"/>
    <w:rsid w:val="00803174"/>
    <w:rsid w:val="0081294B"/>
    <w:rsid w:val="008278B6"/>
    <w:rsid w:val="00832108"/>
    <w:rsid w:val="008525B5"/>
    <w:rsid w:val="0088518C"/>
    <w:rsid w:val="008854BC"/>
    <w:rsid w:val="00886F6F"/>
    <w:rsid w:val="00893AC5"/>
    <w:rsid w:val="008961DD"/>
    <w:rsid w:val="008C1439"/>
    <w:rsid w:val="008C1FAF"/>
    <w:rsid w:val="008C469A"/>
    <w:rsid w:val="008D0BE2"/>
    <w:rsid w:val="00904CBE"/>
    <w:rsid w:val="00911C87"/>
    <w:rsid w:val="009144A5"/>
    <w:rsid w:val="00942665"/>
    <w:rsid w:val="00955699"/>
    <w:rsid w:val="00967653"/>
    <w:rsid w:val="00985A85"/>
    <w:rsid w:val="009915C8"/>
    <w:rsid w:val="00994DF1"/>
    <w:rsid w:val="009D497D"/>
    <w:rsid w:val="009D6702"/>
    <w:rsid w:val="009E1EBF"/>
    <w:rsid w:val="009F4F09"/>
    <w:rsid w:val="00A018B6"/>
    <w:rsid w:val="00A05375"/>
    <w:rsid w:val="00A21A7F"/>
    <w:rsid w:val="00A47333"/>
    <w:rsid w:val="00A56EF3"/>
    <w:rsid w:val="00A73405"/>
    <w:rsid w:val="00A93594"/>
    <w:rsid w:val="00AC4DFD"/>
    <w:rsid w:val="00AD7522"/>
    <w:rsid w:val="00AE4203"/>
    <w:rsid w:val="00AE6EFC"/>
    <w:rsid w:val="00B46039"/>
    <w:rsid w:val="00B5154B"/>
    <w:rsid w:val="00B5711E"/>
    <w:rsid w:val="00B62C0C"/>
    <w:rsid w:val="00B73882"/>
    <w:rsid w:val="00B80706"/>
    <w:rsid w:val="00BA1137"/>
    <w:rsid w:val="00BB4D13"/>
    <w:rsid w:val="00BC7DEC"/>
    <w:rsid w:val="00BE00B6"/>
    <w:rsid w:val="00BE3A72"/>
    <w:rsid w:val="00BF58E0"/>
    <w:rsid w:val="00C219B8"/>
    <w:rsid w:val="00C476E4"/>
    <w:rsid w:val="00C74762"/>
    <w:rsid w:val="00CC1063"/>
    <w:rsid w:val="00CC5652"/>
    <w:rsid w:val="00CD791A"/>
    <w:rsid w:val="00D107B7"/>
    <w:rsid w:val="00D23664"/>
    <w:rsid w:val="00D37D3D"/>
    <w:rsid w:val="00D43550"/>
    <w:rsid w:val="00D55A93"/>
    <w:rsid w:val="00D74D34"/>
    <w:rsid w:val="00D96F8A"/>
    <w:rsid w:val="00DC0C6E"/>
    <w:rsid w:val="00DD15A6"/>
    <w:rsid w:val="00DD1C39"/>
    <w:rsid w:val="00DE28E0"/>
    <w:rsid w:val="00DE53C3"/>
    <w:rsid w:val="00DF7C08"/>
    <w:rsid w:val="00E01547"/>
    <w:rsid w:val="00E04D36"/>
    <w:rsid w:val="00E17458"/>
    <w:rsid w:val="00E4486E"/>
    <w:rsid w:val="00E4738D"/>
    <w:rsid w:val="00E53B2F"/>
    <w:rsid w:val="00E9147D"/>
    <w:rsid w:val="00EB1965"/>
    <w:rsid w:val="00EB7431"/>
    <w:rsid w:val="00EC613C"/>
    <w:rsid w:val="00EE0B4C"/>
    <w:rsid w:val="00F35F1B"/>
    <w:rsid w:val="00F53A57"/>
    <w:rsid w:val="00F5557A"/>
    <w:rsid w:val="00F655C6"/>
    <w:rsid w:val="00F70F0F"/>
    <w:rsid w:val="00F85745"/>
    <w:rsid w:val="00F97696"/>
    <w:rsid w:val="00FA163F"/>
    <w:rsid w:val="00FA33F2"/>
    <w:rsid w:val="00FC1B8A"/>
    <w:rsid w:val="00FD5360"/>
    <w:rsid w:val="00FF65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8F52"/>
  <w15:chartTrackingRefBased/>
  <w15:docId w15:val="{4F6F0087-3AFD-435A-AD52-E0CCFB97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7C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7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7C7"/>
  </w:style>
  <w:style w:type="paragraph" w:styleId="Piedepgina">
    <w:name w:val="footer"/>
    <w:basedOn w:val="Normal"/>
    <w:link w:val="PiedepginaCar"/>
    <w:uiPriority w:val="99"/>
    <w:unhideWhenUsed/>
    <w:rsid w:val="001E67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7C7"/>
  </w:style>
  <w:style w:type="paragraph" w:styleId="Textodeglobo">
    <w:name w:val="Balloon Text"/>
    <w:basedOn w:val="Normal"/>
    <w:link w:val="TextodegloboCar"/>
    <w:uiPriority w:val="99"/>
    <w:semiHidden/>
    <w:unhideWhenUsed/>
    <w:rsid w:val="003312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123E"/>
    <w:rPr>
      <w:rFonts w:ascii="Segoe UI" w:hAnsi="Segoe UI" w:cs="Segoe UI"/>
      <w:sz w:val="18"/>
      <w:szCs w:val="18"/>
    </w:rPr>
  </w:style>
  <w:style w:type="paragraph" w:styleId="Sinespaciado">
    <w:name w:val="No Spacing"/>
    <w:uiPriority w:val="1"/>
    <w:qFormat/>
    <w:rsid w:val="007A458C"/>
    <w:pPr>
      <w:spacing w:after="0" w:line="240" w:lineRule="auto"/>
    </w:pPr>
  </w:style>
  <w:style w:type="paragraph" w:styleId="NormalWeb">
    <w:name w:val="Normal (Web)"/>
    <w:basedOn w:val="Normal"/>
    <w:uiPriority w:val="99"/>
    <w:unhideWhenUsed/>
    <w:rsid w:val="00886F6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97987">
      <w:bodyDiv w:val="1"/>
      <w:marLeft w:val="0"/>
      <w:marRight w:val="0"/>
      <w:marTop w:val="0"/>
      <w:marBottom w:val="0"/>
      <w:divBdr>
        <w:top w:val="none" w:sz="0" w:space="0" w:color="auto"/>
        <w:left w:val="none" w:sz="0" w:space="0" w:color="auto"/>
        <w:bottom w:val="none" w:sz="0" w:space="0" w:color="auto"/>
        <w:right w:val="none" w:sz="0" w:space="0" w:color="auto"/>
      </w:divBdr>
    </w:div>
    <w:div w:id="823854951">
      <w:bodyDiv w:val="1"/>
      <w:marLeft w:val="0"/>
      <w:marRight w:val="0"/>
      <w:marTop w:val="0"/>
      <w:marBottom w:val="0"/>
      <w:divBdr>
        <w:top w:val="none" w:sz="0" w:space="0" w:color="auto"/>
        <w:left w:val="none" w:sz="0" w:space="0" w:color="auto"/>
        <w:bottom w:val="none" w:sz="0" w:space="0" w:color="auto"/>
        <w:right w:val="none" w:sz="0" w:space="0" w:color="auto"/>
      </w:divBdr>
    </w:div>
    <w:div w:id="937565492">
      <w:bodyDiv w:val="1"/>
      <w:marLeft w:val="0"/>
      <w:marRight w:val="0"/>
      <w:marTop w:val="0"/>
      <w:marBottom w:val="0"/>
      <w:divBdr>
        <w:top w:val="none" w:sz="0" w:space="0" w:color="auto"/>
        <w:left w:val="none" w:sz="0" w:space="0" w:color="auto"/>
        <w:bottom w:val="none" w:sz="0" w:space="0" w:color="auto"/>
        <w:right w:val="none" w:sz="0" w:space="0" w:color="auto"/>
      </w:divBdr>
    </w:div>
    <w:div w:id="1300190863">
      <w:bodyDiv w:val="1"/>
      <w:marLeft w:val="0"/>
      <w:marRight w:val="0"/>
      <w:marTop w:val="0"/>
      <w:marBottom w:val="0"/>
      <w:divBdr>
        <w:top w:val="none" w:sz="0" w:space="0" w:color="auto"/>
        <w:left w:val="none" w:sz="0" w:space="0" w:color="auto"/>
        <w:bottom w:val="none" w:sz="0" w:space="0" w:color="auto"/>
        <w:right w:val="none" w:sz="0" w:space="0" w:color="auto"/>
      </w:divBdr>
    </w:div>
    <w:div w:id="1375034156">
      <w:bodyDiv w:val="1"/>
      <w:marLeft w:val="0"/>
      <w:marRight w:val="0"/>
      <w:marTop w:val="0"/>
      <w:marBottom w:val="0"/>
      <w:divBdr>
        <w:top w:val="none" w:sz="0" w:space="0" w:color="auto"/>
        <w:left w:val="none" w:sz="0" w:space="0" w:color="auto"/>
        <w:bottom w:val="none" w:sz="0" w:space="0" w:color="auto"/>
        <w:right w:val="none" w:sz="0" w:space="0" w:color="auto"/>
      </w:divBdr>
    </w:div>
    <w:div w:id="1637100540">
      <w:bodyDiv w:val="1"/>
      <w:marLeft w:val="0"/>
      <w:marRight w:val="0"/>
      <w:marTop w:val="0"/>
      <w:marBottom w:val="0"/>
      <w:divBdr>
        <w:top w:val="none" w:sz="0" w:space="0" w:color="auto"/>
        <w:left w:val="none" w:sz="0" w:space="0" w:color="auto"/>
        <w:bottom w:val="none" w:sz="0" w:space="0" w:color="auto"/>
        <w:right w:val="none" w:sz="0" w:space="0" w:color="auto"/>
      </w:divBdr>
    </w:div>
    <w:div w:id="169426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1218</Words>
  <Characters>6704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Andrés Brevis Morales</dc:creator>
  <cp:keywords/>
  <dc:description/>
  <cp:lastModifiedBy>Daisy Rocío Guajardo Levia</cp:lastModifiedBy>
  <cp:revision>3</cp:revision>
  <cp:lastPrinted>2026-03-17T14:35:00Z</cp:lastPrinted>
  <dcterms:created xsi:type="dcterms:W3CDTF">2026-07-08T18:03:00Z</dcterms:created>
  <dcterms:modified xsi:type="dcterms:W3CDTF">2026-07-08T18:09:00Z</dcterms:modified>
</cp:coreProperties>
</file>