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F4E" w14:textId="406B4ED9" w:rsidR="00E11B2A" w:rsidRPr="009568E7" w:rsidRDefault="000C5398" w:rsidP="009568E7">
      <w:pPr>
        <w:pStyle w:val="Title"/>
        <w:tabs>
          <w:tab w:val="left" w:pos="5760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39FC65" wp14:editId="6CD7C6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D1A38" wp14:editId="7C404A40">
                <wp:simplePos x="0" y="0"/>
                <wp:positionH relativeFrom="margin">
                  <wp:posOffset>5102225</wp:posOffset>
                </wp:positionH>
                <wp:positionV relativeFrom="margin">
                  <wp:posOffset>0</wp:posOffset>
                </wp:positionV>
                <wp:extent cx="1087755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11D2" w14:textId="6C088D03" w:rsidR="0092781E" w:rsidRPr="00E73048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 Portfolio:</w:t>
                            </w:r>
                          </w:p>
                          <w:p w14:paraId="11B59AC8" w14:textId="3DF96874" w:rsidR="0092781E" w:rsidRPr="00E73048" w:rsidRDefault="00E73048" w:rsidP="00E7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www.github.com/kevintyang/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75pt;margin-top:0;width:8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" filled="f" stroked="f">
                <v:textbox style="mso-fit-shape-to-text:t">
                  <w:txbxContent>
                    <w:p w14:paraId="6A2111D2" w14:textId="6C088D03" w:rsidR="0092781E" w:rsidRPr="00E73048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GitHub Portfolio</w:t>
                      </w:r>
                      <w:r w:rsidRPr="00E73048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B59AC8" w14:textId="3DF96874" w:rsidR="0092781E" w:rsidRPr="00E73048" w:rsidRDefault="00E73048" w:rsidP="00E7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www.</w:t>
                      </w:r>
                      <w:r w:rsidRPr="00E73048">
                        <w:rPr>
                          <w:sz w:val="20"/>
                          <w:szCs w:val="20"/>
                        </w:rPr>
                        <w:t>github.com/kevintyang/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50BE29" wp14:editId="1A507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83"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A1533" wp14:editId="6FBCC1C8">
                <wp:simplePos x="0" y="0"/>
                <wp:positionH relativeFrom="margin">
                  <wp:posOffset>692150</wp:posOffset>
                </wp:positionH>
                <wp:positionV relativeFrom="margin">
                  <wp:align>top</wp:align>
                </wp:positionV>
                <wp:extent cx="1161288" cy="5651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288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B53" w14:textId="66838B42" w:rsidR="0092781E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 Profile:</w:t>
                            </w:r>
                          </w:p>
                          <w:p w14:paraId="227FECB9" w14:textId="746F5BA7" w:rsidR="0092781E" w:rsidRPr="0092781E" w:rsidRDefault="00193283" w:rsidP="001932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283">
                              <w:rPr>
                                <w:sz w:val="20"/>
                                <w:szCs w:val="20"/>
                              </w:rPr>
                              <w:t>www.linkedin.com/in/kevin-yang-/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A1533" id="_x0000_s1027" type="#_x0000_t202" style="position:absolute;left:0;text-align:left;margin-left:54.5pt;margin-top:0;width:91.45pt;height:44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" filled="f" stroked="f">
                <v:textbox style="mso-fit-shape-to-text:t">
                  <w:txbxContent>
                    <w:p w14:paraId="6141FB53" w14:textId="66838B42" w:rsidR="0092781E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 Profile:</w:t>
                      </w:r>
                    </w:p>
                    <w:p w14:paraId="227FECB9" w14:textId="746F5BA7" w:rsidR="0092781E" w:rsidRPr="0092781E" w:rsidRDefault="00193283" w:rsidP="001932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283">
                        <w:rPr>
                          <w:sz w:val="20"/>
                          <w:szCs w:val="20"/>
                        </w:rPr>
                        <w:t>www.linkedin.com/in/kevin-yang-/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1319" w:rsidRPr="009568E7">
        <w:rPr>
          <w:rFonts w:ascii="Times New Roman" w:hAnsi="Times New Roman" w:cs="Times New Roman"/>
          <w:color w:val="465253"/>
          <w:sz w:val="32"/>
          <w:szCs w:val="32"/>
        </w:rPr>
        <w:t>Kevin Yang</w:t>
      </w:r>
    </w:p>
    <w:p w14:paraId="571089EB" w14:textId="4AF8B27B" w:rsidR="00E11B2A" w:rsidRPr="003507B6" w:rsidRDefault="00411319" w:rsidP="00411319">
      <w:pPr>
        <w:spacing w:before="8"/>
        <w:jc w:val="center"/>
        <w:rPr>
          <w:rFonts w:ascii="Times New Roman" w:hAnsi="Times New Roman" w:cs="Times New Roman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4343 South 1350 East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Salt Lake City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UT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84124</w:t>
      </w:r>
    </w:p>
    <w:p w14:paraId="3087DA42" w14:textId="12EB8FC2" w:rsidR="00E11B2A" w:rsidRPr="003507B6" w:rsidRDefault="007D5B68" w:rsidP="00DE0193">
      <w:pPr>
        <w:spacing w:before="10"/>
        <w:jc w:val="center"/>
        <w:rPr>
          <w:rFonts w:ascii="Times New Roman" w:hAnsi="Times New Roman" w:cs="Times New Roman"/>
          <w:color w:val="465253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(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801</w:t>
      </w:r>
      <w:r w:rsidRPr="003507B6">
        <w:rPr>
          <w:rFonts w:ascii="Times New Roman" w:hAnsi="Times New Roman" w:cs="Times New Roman"/>
          <w:color w:val="465253"/>
          <w:sz w:val="20"/>
        </w:rPr>
        <w:t>)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859</w:t>
      </w:r>
      <w:r w:rsidRPr="003507B6">
        <w:rPr>
          <w:rFonts w:ascii="Times New Roman" w:hAnsi="Times New Roman" w:cs="Times New Roman"/>
          <w:color w:val="465253"/>
          <w:sz w:val="20"/>
        </w:rPr>
        <w:t>-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3532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|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DE0193" w:rsidRPr="003507B6">
        <w:rPr>
          <w:rFonts w:ascii="Times New Roman" w:hAnsi="Times New Roman" w:cs="Times New Roman"/>
          <w:color w:val="465253"/>
          <w:sz w:val="20"/>
        </w:rPr>
        <w:t>kevin.tian.yang@gmail.com</w:t>
      </w:r>
      <w:r w:rsidR="009920B5" w:rsidRPr="003507B6">
        <w:rPr>
          <w:rFonts w:ascii="Times New Roman" w:hAnsi="Times New Roman" w:cs="Times New Roman"/>
          <w:color w:val="465253"/>
          <w:sz w:val="20"/>
        </w:rPr>
        <w:t xml:space="preserve"> </w:t>
      </w:r>
    </w:p>
    <w:p w14:paraId="5CC5F15E" w14:textId="384CEF43" w:rsidR="00E11B2A" w:rsidRPr="00F04720" w:rsidRDefault="00E11B2A" w:rsidP="004634F1">
      <w:pPr>
        <w:pStyle w:val="BodyText"/>
        <w:spacing w:before="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A4E80FD" w14:textId="77777777" w:rsidR="009568E7" w:rsidRPr="00F04720" w:rsidRDefault="009568E7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C9859B" w14:textId="0BEB3B4C" w:rsidR="00E11B2A" w:rsidRPr="003507B6" w:rsidRDefault="007D5B68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EDUCATION</w:t>
      </w:r>
    </w:p>
    <w:p w14:paraId="36948578" w14:textId="531615D0" w:rsidR="00E11B2A" w:rsidRPr="00001866" w:rsidRDefault="00411319" w:rsidP="00C8178B">
      <w:pPr>
        <w:tabs>
          <w:tab w:val="left" w:pos="9354"/>
        </w:tabs>
        <w:spacing w:before="83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M</w:t>
      </w:r>
      <w:r w:rsidR="00043103">
        <w:rPr>
          <w:rFonts w:ascii="Times New Roman" w:hAnsi="Times New Roman" w:cs="Times New Roman"/>
          <w:b/>
          <w:sz w:val="20"/>
          <w:szCs w:val="20"/>
        </w:rPr>
        <w:t>asters of Science</w:t>
      </w:r>
      <w:r w:rsidRPr="00001866">
        <w:rPr>
          <w:rFonts w:ascii="Times New Roman" w:hAnsi="Times New Roman" w:cs="Times New Roman"/>
          <w:b/>
          <w:sz w:val="20"/>
          <w:szCs w:val="20"/>
        </w:rPr>
        <w:t>,</w:t>
      </w:r>
      <w:r w:rsidR="007D5B68" w:rsidRPr="0000186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Biomedical Informatics: Data Science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Pr="00001866">
        <w:rPr>
          <w:rFonts w:ascii="Times New Roman" w:hAnsi="Times New Roman" w:cs="Times New Roman"/>
          <w:sz w:val="20"/>
          <w:szCs w:val="20"/>
        </w:rPr>
        <w:t xml:space="preserve">  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3507B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Pr="00001866">
        <w:rPr>
          <w:rFonts w:ascii="Times New Roman" w:hAnsi="Times New Roman" w:cs="Times New Roman"/>
          <w:sz w:val="20"/>
          <w:szCs w:val="20"/>
        </w:rPr>
        <w:t>22</w:t>
      </w:r>
    </w:p>
    <w:p w14:paraId="7AD11EB6" w14:textId="31F7BAAF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26E8125D" w14:textId="2C360FA6" w:rsidR="00E11B2A" w:rsidRPr="00001866" w:rsidRDefault="00411319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4A607F" w:rsidRPr="00001866">
        <w:rPr>
          <w:rFonts w:ascii="Times New Roman" w:hAnsi="Times New Roman" w:cs="Times New Roman"/>
          <w:iCs/>
          <w:sz w:val="20"/>
          <w:szCs w:val="20"/>
        </w:rPr>
        <w:t>9</w:t>
      </w:r>
      <w:r w:rsidRPr="00001866">
        <w:rPr>
          <w:rFonts w:ascii="Times New Roman" w:hAnsi="Times New Roman" w:cs="Times New Roman"/>
          <w:iCs/>
          <w:sz w:val="20"/>
          <w:szCs w:val="20"/>
        </w:rPr>
        <w:t>38</w:t>
      </w:r>
    </w:p>
    <w:p w14:paraId="31031C5C" w14:textId="1407374C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Introduction to Programming, Biomedical Data Wrangling, Stats for Biomed Info</w:t>
      </w:r>
      <w:r w:rsidR="00B16ED3" w:rsidRPr="00001866">
        <w:rPr>
          <w:rFonts w:ascii="Times New Roman" w:hAnsi="Times New Roman" w:cs="Times New Roman"/>
          <w:iCs/>
          <w:sz w:val="20"/>
          <w:szCs w:val="20"/>
        </w:rPr>
        <w:t>, Biomed Text Processing, Intro to Data Science, Applied Machine Learning, Data Visualization</w:t>
      </w:r>
    </w:p>
    <w:p w14:paraId="30154EC1" w14:textId="7C01AA63" w:rsidR="00E11B2A" w:rsidRPr="00001866" w:rsidRDefault="00043103" w:rsidP="00C8178B">
      <w:pPr>
        <w:tabs>
          <w:tab w:val="left" w:pos="9549"/>
        </w:tabs>
        <w:spacing w:before="84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Honors Bachelors of Science</w:t>
      </w:r>
      <w:r w:rsidR="00411319" w:rsidRPr="00001866">
        <w:rPr>
          <w:rFonts w:ascii="Times New Roman" w:hAnsi="Times New Roman" w:cs="Times New Roman"/>
          <w:b/>
          <w:spacing w:val="-6"/>
          <w:sz w:val="20"/>
          <w:szCs w:val="20"/>
        </w:rPr>
        <w:t xml:space="preserve">, </w:t>
      </w:r>
      <w:r w:rsidR="00411319" w:rsidRPr="00001866">
        <w:rPr>
          <w:rFonts w:ascii="Times New Roman" w:hAnsi="Times New Roman" w:cs="Times New Roman"/>
          <w:iCs/>
          <w:sz w:val="20"/>
          <w:szCs w:val="20"/>
        </w:rPr>
        <w:t xml:space="preserve">Biology 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="00411319" w:rsidRPr="00001866">
        <w:rPr>
          <w:rFonts w:ascii="Times New Roman" w:hAnsi="Times New Roman" w:cs="Times New Roman"/>
          <w:sz w:val="20"/>
          <w:szCs w:val="20"/>
        </w:rPr>
        <w:t>18</w:t>
      </w:r>
    </w:p>
    <w:p w14:paraId="3C7B1B34" w14:textId="17B10C42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06CB3954" w14:textId="6A78B35D" w:rsidR="006F25B0" w:rsidRPr="006F25B0" w:rsidRDefault="00411319" w:rsidP="006F25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4A607F" w:rsidRPr="00001866">
        <w:rPr>
          <w:rFonts w:ascii="Times New Roman" w:hAnsi="Times New Roman" w:cs="Times New Roman"/>
          <w:iCs/>
          <w:sz w:val="20"/>
          <w:szCs w:val="20"/>
        </w:rPr>
        <w:t>9</w:t>
      </w:r>
      <w:r w:rsidRPr="00001866">
        <w:rPr>
          <w:rFonts w:ascii="Times New Roman" w:hAnsi="Times New Roman" w:cs="Times New Roman"/>
          <w:iCs/>
          <w:sz w:val="20"/>
          <w:szCs w:val="20"/>
        </w:rPr>
        <w:t>84</w:t>
      </w:r>
    </w:p>
    <w:p w14:paraId="3FF763D9" w14:textId="5AEC7BEB" w:rsidR="00B16ED3" w:rsidRPr="00001866" w:rsidRDefault="00B16ED3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Honors Organic Chem I&amp;II, Biological Chemistry, Human Physiology, Physics of the Human Body</w:t>
      </w:r>
    </w:p>
    <w:p w14:paraId="75288AD2" w14:textId="3C3692D2" w:rsidR="00E11B2A" w:rsidRPr="003507B6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F62825E" w14:textId="519C51A5" w:rsidR="00E11B2A" w:rsidRPr="003507B6" w:rsidRDefault="00E73048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 xml:space="preserve">WORK </w:t>
      </w:r>
      <w:r w:rsidR="007D5B68" w:rsidRPr="003507B6">
        <w:rPr>
          <w:rFonts w:ascii="Times New Roman" w:hAnsi="Times New Roman" w:cs="Times New Roman"/>
          <w:sz w:val="22"/>
          <w:szCs w:val="22"/>
        </w:rPr>
        <w:t>EXPERIENCE</w:t>
      </w:r>
    </w:p>
    <w:p w14:paraId="71300F29" w14:textId="491AE01E" w:rsidR="00E11B2A" w:rsidRPr="00001866" w:rsidRDefault="00411319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Lab Technician</w:t>
      </w:r>
      <w:r w:rsidR="003507B6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6576" w:rsidRPr="0000186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>August</w:t>
      </w:r>
      <w:r w:rsidR="00BF5DBF" w:rsidRPr="00001866">
        <w:rPr>
          <w:rFonts w:ascii="Times New Roman" w:hAnsi="Times New Roman" w:cs="Times New Roman"/>
          <w:sz w:val="20"/>
          <w:szCs w:val="20"/>
        </w:rPr>
        <w:t xml:space="preserve"> 2016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–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 2021</w:t>
      </w:r>
    </w:p>
    <w:p w14:paraId="7E46AFDD" w14:textId="78D5AB91" w:rsidR="00085F42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F7905" w:rsidRPr="00001866">
        <w:rPr>
          <w:rFonts w:ascii="Times New Roman" w:hAnsi="Times New Roman" w:cs="Times New Roman"/>
          <w:i/>
          <w:sz w:val="20"/>
          <w:szCs w:val="20"/>
        </w:rPr>
        <w:t xml:space="preserve">Division of Nephrology, </w:t>
      </w:r>
      <w:r w:rsidRPr="00001866">
        <w:rPr>
          <w:rFonts w:ascii="Times New Roman" w:hAnsi="Times New Roman" w:cs="Times New Roman"/>
          <w:i/>
          <w:sz w:val="20"/>
          <w:szCs w:val="20"/>
        </w:rPr>
        <w:t>Salt Lake City, Utah</w:t>
      </w:r>
    </w:p>
    <w:p w14:paraId="46807AE5" w14:textId="4F9738B5" w:rsidR="00085F42" w:rsidRPr="00001866" w:rsidRDefault="00085F42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Spearheaded diabetes insipidus therapy research and white adipose beiging phenomenon </w:t>
      </w:r>
    </w:p>
    <w:p w14:paraId="40193FEE" w14:textId="4F2E83BB" w:rsidR="009F7905" w:rsidRPr="00001866" w:rsidRDefault="009F7905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Supported laboratory staff with advanced troubleshooting, resolving complex problems and helping with special projects such as surgeries for implantation of osmotic pumps.</w:t>
      </w:r>
    </w:p>
    <w:p w14:paraId="24188F91" w14:textId="7DD5B92B" w:rsidR="009F7905" w:rsidRPr="00001866" w:rsidRDefault="009F7905" w:rsidP="004B159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Conducted experimental procedures such as DNA</w:t>
      </w:r>
      <w:r w:rsidR="007F6576" w:rsidRPr="00001866">
        <w:rPr>
          <w:rFonts w:ascii="Times New Roman" w:eastAsiaTheme="minorEastAsia" w:hAnsi="Times New Roman" w:cs="Times New Roman"/>
          <w:sz w:val="20"/>
          <w:szCs w:val="20"/>
        </w:rPr>
        <w:t>&amp;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RNA extraction, qRT-PCR, Western </w:t>
      </w:r>
      <w:r w:rsidR="00C2022A" w:rsidRPr="00001866">
        <w:rPr>
          <w:rFonts w:ascii="Times New Roman" w:eastAsiaTheme="minorEastAsia" w:hAnsi="Times New Roman" w:cs="Times New Roman"/>
          <w:sz w:val="20"/>
          <w:szCs w:val="20"/>
        </w:rPr>
        <w:t>b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>lot, immunohistochemistry, and mouse metabolic cage studies.</w:t>
      </w:r>
    </w:p>
    <w:p w14:paraId="33EBDE9A" w14:textId="77777777" w:rsidR="00E73048" w:rsidRPr="008D6728" w:rsidRDefault="00E73048" w:rsidP="00523E27">
      <w:pPr>
        <w:pStyle w:val="BodyText"/>
        <w:tabs>
          <w:tab w:val="left" w:pos="8274"/>
        </w:tabs>
        <w:spacing w:line="276" w:lineRule="auto"/>
        <w:ind w:left="100" w:firstLine="0"/>
        <w:rPr>
          <w:rFonts w:ascii="Times New Roman" w:hAnsi="Times New Roman" w:cs="Times New Roman"/>
          <w:bCs/>
          <w:sz w:val="20"/>
          <w:szCs w:val="20"/>
        </w:rPr>
      </w:pPr>
    </w:p>
    <w:p w14:paraId="0F988E67" w14:textId="14E11715" w:rsidR="009920B5" w:rsidRPr="00001866" w:rsidRDefault="009920B5" w:rsidP="00C8178B">
      <w:pPr>
        <w:pStyle w:val="BodyText"/>
        <w:tabs>
          <w:tab w:val="left" w:pos="8274"/>
        </w:tabs>
        <w:spacing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Teaching Assistant</w:t>
      </w:r>
      <w:r w:rsidRPr="0000186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A246B6" w:rsidRPr="000018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Fall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2016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="005472F2" w:rsidRPr="00001866">
        <w:rPr>
          <w:rFonts w:ascii="Times New Roman" w:hAnsi="Times New Roman" w:cs="Times New Roman"/>
          <w:sz w:val="20"/>
          <w:szCs w:val="20"/>
        </w:rPr>
        <w:t>–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2017</w:t>
      </w:r>
    </w:p>
    <w:p w14:paraId="6A9BB61E" w14:textId="173D83B3" w:rsidR="009920B5" w:rsidRPr="00001866" w:rsidRDefault="00BF5DBF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920B5" w:rsidRPr="00001866">
        <w:rPr>
          <w:rFonts w:ascii="Times New Roman" w:hAnsi="Times New Roman" w:cs="Times New Roman"/>
          <w:i/>
          <w:sz w:val="20"/>
          <w:szCs w:val="20"/>
        </w:rPr>
        <w:t>CHEM 2320: Organic Chemistry II</w:t>
      </w:r>
    </w:p>
    <w:p w14:paraId="72A69FA5" w14:textId="11818A46" w:rsidR="009920B5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Hosted weekly discussions sessions to review material</w:t>
      </w:r>
    </w:p>
    <w:p w14:paraId="31A26BB5" w14:textId="551B049D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Collaborated with professor and teaching team to write exams, homework, and problem sets</w:t>
      </w:r>
    </w:p>
    <w:p w14:paraId="0021B29E" w14:textId="42AD6558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Improved student analytical skills when completing problem sets</w:t>
      </w:r>
    </w:p>
    <w:p w14:paraId="6617C702" w14:textId="55F519B7" w:rsidR="00E11B2A" w:rsidRPr="00001866" w:rsidRDefault="00BF5DBF" w:rsidP="00BF5D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Graded assignments and exams for ~75 students</w:t>
      </w:r>
    </w:p>
    <w:p w14:paraId="36E86237" w14:textId="32F032FF" w:rsidR="00A97C0B" w:rsidRPr="003507B6" w:rsidRDefault="00A97C0B" w:rsidP="00A97C0B">
      <w:pPr>
        <w:pStyle w:val="ListParagraph"/>
        <w:tabs>
          <w:tab w:val="left" w:pos="819"/>
          <w:tab w:val="left" w:pos="820"/>
        </w:tabs>
        <w:spacing w:before="6"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6E8636D8" w14:textId="7C38D489" w:rsidR="00EA6490" w:rsidRPr="003507B6" w:rsidRDefault="00EA6490" w:rsidP="00EA6490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</w:t>
      </w:r>
      <w:r w:rsidR="00DB02DC" w:rsidRPr="003507B6">
        <w:rPr>
          <w:rFonts w:ascii="Times New Roman" w:hAnsi="Times New Roman" w:cs="Times New Roman"/>
          <w:sz w:val="22"/>
          <w:szCs w:val="22"/>
        </w:rPr>
        <w:t>PROJECTS</w:t>
      </w:r>
    </w:p>
    <w:p w14:paraId="6B0FC714" w14:textId="23DE916C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Conducted an investigation in detecting Alzheimer’s using machine learning algorithms  </w:t>
      </w:r>
      <w:r w:rsidR="00B977C8">
        <w:rPr>
          <w:rFonts w:ascii="Times New Roman" w:hAnsi="Times New Roman" w:cs="Times New Roman"/>
          <w:sz w:val="20"/>
          <w:szCs w:val="20"/>
        </w:rPr>
        <w:t>(In Progress)</w:t>
      </w:r>
    </w:p>
    <w:p w14:paraId="575527C6" w14:textId="2A474067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Cleaned large dataset concerning long-term COVID-19 effects</w:t>
      </w:r>
    </w:p>
    <w:p w14:paraId="78E3CB24" w14:textId="58B63E2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In-depth investigation on customer patterns in treadmill purchasing</w:t>
      </w:r>
    </w:p>
    <w:p w14:paraId="2D49F459" w14:textId="1C9F4156" w:rsidR="00E11B2A" w:rsidRPr="008D6728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6053C68" w14:textId="77777777" w:rsidR="002732A6" w:rsidRPr="003507B6" w:rsidRDefault="002732A6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PUBLICATIONS</w:t>
      </w:r>
    </w:p>
    <w:p w14:paraId="21EB5061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Luo R, Zou CJ, Xie S, Peng K,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Xu C,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7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treats metabolic syndrome in mice with diet-induced obesity via interaction with PPARγ.”</w:t>
        </w:r>
      </w:hyperlink>
      <w:r w:rsidRPr="00001866">
        <w:rPr>
          <w:rFonts w:ascii="Times New Roman" w:hAnsi="Times New Roman" w:cs="Times New Roman"/>
          <w:sz w:val="20"/>
          <w:szCs w:val="20"/>
        </w:rPr>
        <w:t xml:space="preserve"> JCI Insight. 2020 Apr 9</w:t>
      </w:r>
    </w:p>
    <w:p w14:paraId="5B77509C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Yang T, Symons JD.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8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as a potential therapy for diabetes insipidus.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Physiol Renal Physiol. 2018 Nov 1</w:t>
      </w:r>
    </w:p>
    <w:p w14:paraId="0B5C536E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Wang F, Lu X, Peng K, Yang T, David Symons.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9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 soluble (Pro) renin receptor does not influence lithium-induced diabetes insipidus but does provoke beiging of white adipose tissue in mice.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J.Physiol Rep. 2017 Nov</w:t>
      </w:r>
    </w:p>
    <w:p w14:paraId="6FF965DF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 X, Peng K, Fang H, Zhou L, Su J, Nau A,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Ichihara A, Lu A, Zhou SF,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10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Antidiuretic Action of Collecting Duct (Pro)Renin Receptor Downstream of Vasopressin and PGE2 Receptor EP4.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J Am Soc Nephrol. 2016 Oct</w:t>
      </w:r>
    </w:p>
    <w:p w14:paraId="4DC5FDB8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Lu X, Wang F, Xu C, Soodvilai S, Peng K, Su J,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Feng Y, Zhou SF, Gustafsson JÅ,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11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via β-catenin enhances urine concentration capability as a target of liver X receptor.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Proc Natl Acad Sci U S A. 2016 Mar 29</w:t>
      </w:r>
    </w:p>
    <w:p w14:paraId="067BCA1C" w14:textId="57C5A176" w:rsidR="002732A6" w:rsidRPr="00001866" w:rsidRDefault="002732A6" w:rsidP="00A97C0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Lu X, Wang F, Liu M,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Nau A, Kohan DE, Reese V, Richardson RS,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12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Activation of ENaC in collecting duct cells by prorenin and its receptor PRR: involvement of Nox4-derived hydrogen peroxide.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Physiol Renal Physiol. 2016 Jun 1</w:t>
      </w:r>
    </w:p>
    <w:sectPr w:rsidR="002732A6" w:rsidRPr="00001866"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BB6"/>
    <w:multiLevelType w:val="hybridMultilevel"/>
    <w:tmpl w:val="5524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71031"/>
    <w:multiLevelType w:val="hybridMultilevel"/>
    <w:tmpl w:val="4A8E8C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1765358"/>
    <w:multiLevelType w:val="hybridMultilevel"/>
    <w:tmpl w:val="3A1CB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79224E"/>
    <w:multiLevelType w:val="hybridMultilevel"/>
    <w:tmpl w:val="A3E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3B12"/>
    <w:multiLevelType w:val="hybridMultilevel"/>
    <w:tmpl w:val="BBD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70"/>
    <w:multiLevelType w:val="hybridMultilevel"/>
    <w:tmpl w:val="8E640D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B76502"/>
    <w:multiLevelType w:val="hybridMultilevel"/>
    <w:tmpl w:val="B008C4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7E65DD0"/>
    <w:multiLevelType w:val="hybridMultilevel"/>
    <w:tmpl w:val="6114D21E"/>
    <w:lvl w:ilvl="0" w:tplc="88A6D2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</w:rPr>
    </w:lvl>
    <w:lvl w:ilvl="1" w:tplc="C422E0AA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0120E24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C4CC5996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38766CB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74CE7750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D76EC82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BAB4161A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45D8F8F4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A"/>
    <w:rsid w:val="00001866"/>
    <w:rsid w:val="00043103"/>
    <w:rsid w:val="00085F42"/>
    <w:rsid w:val="000C5398"/>
    <w:rsid w:val="00105D0A"/>
    <w:rsid w:val="00193283"/>
    <w:rsid w:val="00215B92"/>
    <w:rsid w:val="002732A6"/>
    <w:rsid w:val="003507B6"/>
    <w:rsid w:val="003B5050"/>
    <w:rsid w:val="003C3B54"/>
    <w:rsid w:val="003C6F1E"/>
    <w:rsid w:val="00411319"/>
    <w:rsid w:val="00451D03"/>
    <w:rsid w:val="004634F1"/>
    <w:rsid w:val="004866F9"/>
    <w:rsid w:val="004A607F"/>
    <w:rsid w:val="004B1599"/>
    <w:rsid w:val="00523E27"/>
    <w:rsid w:val="005472F2"/>
    <w:rsid w:val="0059293D"/>
    <w:rsid w:val="005A1E97"/>
    <w:rsid w:val="005D2A47"/>
    <w:rsid w:val="006B6D79"/>
    <w:rsid w:val="006F034D"/>
    <w:rsid w:val="006F25B0"/>
    <w:rsid w:val="007269F2"/>
    <w:rsid w:val="007D5B68"/>
    <w:rsid w:val="007F6576"/>
    <w:rsid w:val="0084567F"/>
    <w:rsid w:val="00875E31"/>
    <w:rsid w:val="00881922"/>
    <w:rsid w:val="008D3E64"/>
    <w:rsid w:val="008D6728"/>
    <w:rsid w:val="0092781E"/>
    <w:rsid w:val="00936C2C"/>
    <w:rsid w:val="009568E7"/>
    <w:rsid w:val="009920B5"/>
    <w:rsid w:val="00994D17"/>
    <w:rsid w:val="009F7905"/>
    <w:rsid w:val="00A246B6"/>
    <w:rsid w:val="00A35FC1"/>
    <w:rsid w:val="00A97C0B"/>
    <w:rsid w:val="00B16ED3"/>
    <w:rsid w:val="00B3783F"/>
    <w:rsid w:val="00B95FE3"/>
    <w:rsid w:val="00B977C8"/>
    <w:rsid w:val="00BF5DBF"/>
    <w:rsid w:val="00C2022A"/>
    <w:rsid w:val="00C46FCD"/>
    <w:rsid w:val="00C64A57"/>
    <w:rsid w:val="00C8178B"/>
    <w:rsid w:val="00D06FFE"/>
    <w:rsid w:val="00D262DE"/>
    <w:rsid w:val="00DA0E42"/>
    <w:rsid w:val="00DB02DC"/>
    <w:rsid w:val="00DE0193"/>
    <w:rsid w:val="00E11B2A"/>
    <w:rsid w:val="00E5312B"/>
    <w:rsid w:val="00E73048"/>
    <w:rsid w:val="00EA6490"/>
    <w:rsid w:val="00EC5BE4"/>
    <w:rsid w:val="00F04720"/>
    <w:rsid w:val="00F94191"/>
    <w:rsid w:val="00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A8"/>
  <w15:docId w15:val="{55E7B21C-B602-4EE7-8D07-6C008E9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28" w:lineRule="exact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4746" w:right="44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19"/>
    <w:rPr>
      <w:color w:val="605E5C"/>
      <w:shd w:val="clear" w:color="auto" w:fill="E1DFDD"/>
    </w:rPr>
  </w:style>
  <w:style w:type="paragraph" w:customStyle="1" w:styleId="Body">
    <w:name w:val="Body"/>
    <w:rsid w:val="009920B5"/>
    <w:pPr>
      <w:widowControl/>
      <w:suppressAutoHyphens/>
      <w:autoSpaceDE/>
      <w:autoSpaceDN/>
      <w:spacing w:after="160" w:line="288" w:lineRule="auto"/>
    </w:pPr>
    <w:rPr>
      <w:rFonts w:ascii="Arial" w:eastAsia="ヒラギノ角ゴ Pro W3" w:hAnsi="Arial" w:cs="Times New Roman"/>
      <w:color w:val="333430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6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01993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271168/" TargetMode="External"/><Relationship Id="rId12" Type="http://schemas.openxmlformats.org/officeDocument/2006/relationships/hyperlink" Target="https://pubmed.ncbi.nlm.nih.gov/266979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med.ncbi.nlm.nih.gov/26984496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ubmed.ncbi.nlm.nih.gov/270000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13835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43</cp:revision>
  <dcterms:created xsi:type="dcterms:W3CDTF">2021-10-15T08:07:00Z</dcterms:created>
  <dcterms:modified xsi:type="dcterms:W3CDTF">2021-10-18T06:05:00Z</dcterms:modified>
</cp:coreProperties>
</file>