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rPr>
      </w:pPr>
      <w:r>
        <w:rPr>
          <w:rFonts w:hint="eastAsia" w:ascii="黑体" w:hAnsi="黑体" w:eastAsia="黑体" w:cs="黑体"/>
          <w:sz w:val="30"/>
          <w:szCs w:val="30"/>
          <w:lang w:val="en-US" w:eastAsia="zh-CN"/>
        </w:rPr>
        <w:t>论文题目</w:t>
      </w:r>
      <w:r>
        <w:rPr>
          <w:rFonts w:hint="eastAsia" w:ascii="黑体" w:hAnsi="黑体" w:eastAsia="黑体" w:cs="黑体"/>
          <w:sz w:val="30"/>
          <w:szCs w:val="30"/>
        </w:rPr>
        <w:t>:</w:t>
      </w:r>
      <w:r>
        <w:rPr>
          <w:rFonts w:hint="eastAsia" w:ascii="黑体" w:hAnsi="黑体" w:eastAsia="黑体" w:cs="黑体"/>
          <w:sz w:val="30"/>
          <w:szCs w:val="30"/>
          <w:lang w:val="en-US" w:eastAsia="zh-CN"/>
        </w:rPr>
        <w:t xml:space="preserve"> 基于信用分配的决策优化——以中国象棋为例</w:t>
      </w:r>
      <w:r>
        <w:rPr>
          <w:rFonts w:hint="eastAsia" w:ascii="黑体" w:hAnsi="黑体" w:eastAsia="黑体" w:cs="黑体"/>
          <w:sz w:val="30"/>
          <w:szCs w:val="30"/>
        </w:rPr>
        <w:t xml:space="preserve"> </w:t>
      </w:r>
    </w:p>
    <w:p>
      <w:pPr>
        <w:spacing w:line="360" w:lineRule="auto"/>
        <w:rPr>
          <w:rFonts w:hint="eastAsia" w:ascii="黑体" w:hAnsi="黑体" w:eastAsia="黑体" w:cs="黑体"/>
          <w:sz w:val="30"/>
          <w:szCs w:val="30"/>
        </w:rPr>
      </w:pPr>
      <w:r>
        <w:rPr>
          <w:rFonts w:hint="eastAsia" w:ascii="黑体" w:hAnsi="黑体" w:eastAsia="黑体" w:cs="黑体"/>
          <w:sz w:val="30"/>
          <w:szCs w:val="30"/>
        </w:rPr>
        <w:t xml:space="preserve">报告日期: </w:t>
      </w:r>
      <w:r>
        <w:rPr>
          <w:rFonts w:hint="eastAsia" w:ascii="黑体" w:hAnsi="黑体" w:eastAsia="黑体" w:cs="黑体"/>
          <w:sz w:val="30"/>
          <w:szCs w:val="30"/>
          <w:lang w:val="en-US" w:eastAsia="zh-CN"/>
        </w:rPr>
        <w:t>2023-08-28</w:t>
      </w:r>
    </w:p>
    <w:p>
      <w:p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rPr>
        <w:t>报告人:</w:t>
      </w:r>
      <w:r>
        <w:rPr>
          <w:rFonts w:hint="eastAsia" w:ascii="黑体" w:hAnsi="黑体" w:eastAsia="黑体" w:cs="黑体"/>
          <w:sz w:val="30"/>
          <w:szCs w:val="30"/>
          <w:lang w:val="en-US" w:eastAsia="zh-CN"/>
        </w:rPr>
        <w:t xml:space="preserve"> xxx</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1】提出RUDDER方法进行奖励重塑，该方法指出可以使用LSTM进行关于奖励的模式识别，从而对奖励分解后再重分配。如图2-1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5"/>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6"/>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6"/>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6"/>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确定每个触点对最终转化效果的价值贡献进行分析的方法，常用于数字营销场景，如顾客从开始对某种产品产生初始印象到最终购买该产品期间，可能会涉及多个渠道，如果把“功劳”公平归因于各个渠道，是多触点归因要解决的问题。 Ning li等【参考2】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落子的每部棋可类比于每个广告渠道，下棋的最终输赢结果则类比于整体广告效果是否让顾客最终购买了该产品，从而中国象棋的信用分配问题可以借鉴广告的多触点归因分析来解决。本文将使用LSTM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通过与象棋程序进行自动博弈来收集博弈数据。数据经过去除重复值、去除空值和异常值处理后，还基于原始数据组合新的数据特征。 数据字段说明如表2-1所示。</w:t>
      </w:r>
    </w:p>
    <w:p>
      <w:pPr>
        <w:numPr>
          <w:ilvl w:val="0"/>
          <w:numId w:val="0"/>
        </w:numPr>
        <w:spacing w:line="360" w:lineRule="auto"/>
        <w:ind w:leftChars="0" w:firstLine="420" w:firstLineChars="0"/>
        <w:rPr>
          <w:rFonts w:hint="eastAsia" w:ascii="宋体" w:hAnsi="宋体" w:eastAsia="宋体" w:cs="宋体"/>
          <w:sz w:val="24"/>
          <w:szCs w:val="24"/>
          <w:lang w:val="en-US" w:eastAsia="zh-CN"/>
        </w:rPr>
      </w:pP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bottom w:val="single" w:color="auto" w:sz="12"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4" w:space="0"/>
              <w:bottom w:val="single" w:color="auto" w:sz="12"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12"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0" t="0" r="11430" b="17145"/>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7"/>
                    <a:stretch>
                      <a:fillRect/>
                    </a:stretch>
                  </pic:blipFill>
                  <pic:spPr>
                    <a:xfrm>
                      <a:off x="0" y="0"/>
                      <a:ext cx="5360670" cy="162115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参考3】的方法将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本论文借鉴DNAMTA【参考2】的神经网络归因模型，主要使用LSTM作为模型的主要架构（图2-4），并通过注意力层学习奖励分配权重。训练过程如下：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使用6层LSTM对博弈数据特征进行编码，分别保留每一步的输出结果；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both"/>
        <w:rPr>
          <w:rFonts w:hint="eastAsia" w:ascii="宋体" w:hAnsi="宋体" w:eastAsia="宋体" w:cs="宋体"/>
          <w:sz w:val="24"/>
          <w:szCs w:val="24"/>
        </w:rPr>
      </w:pPr>
    </w:p>
    <w:p>
      <w:pPr>
        <w:widowControl w:val="0"/>
        <w:numPr>
          <w:ilvl w:val="0"/>
          <w:numId w:val="0"/>
        </w:num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补充图4神经网络架构</w:t>
      </w:r>
      <w:r>
        <w:rPr>
          <w:rFonts w:hint="eastAsia" w:ascii="宋体" w:hAnsi="宋体" w:eastAsia="宋体" w:cs="宋体"/>
          <w:sz w:val="24"/>
          <w:szCs w:val="24"/>
          <w:lang w:eastAsia="zh-CN"/>
        </w:rPr>
        <w:t>】</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模型下游应用主要是奖励分配——分配适当的奖励到每个状态-动作配对上。从训练完多模型提取注意力层的权重，基于历史博弈数据可统计出每个落子动作对应的奖励贡献权重，如算法1所示。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8"/>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9"/>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0"/>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1"/>
                    <a:stretch>
                      <a:fillRect/>
                    </a:stretch>
                  </pic:blipFill>
                  <pic:spPr>
                    <a:xfrm>
                      <a:off x="0" y="0"/>
                      <a:ext cx="5267960" cy="2686685"/>
                    </a:xfrm>
                    <a:prstGeom prst="rect">
                      <a:avLst/>
                    </a:prstGeom>
                  </pic:spPr>
                </pic:pic>
              </a:graphicData>
            </a:graphic>
          </wp:inline>
        </w:drawing>
      </w:r>
    </w:p>
    <w:p>
      <w:pPr>
        <w:widowControl w:val="0"/>
        <w:numPr>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numId w:val="0"/>
        </w:numPr>
        <w:spacing w:line="360" w:lineRule="auto"/>
        <w:jc w:val="both"/>
        <w:rPr>
          <w:rFonts w:hint="eastAsia" w:ascii="宋体" w:hAnsi="宋体" w:eastAsia="宋体" w:cs="宋体"/>
          <w:sz w:val="24"/>
          <w:szCs w:val="24"/>
          <w:lang w:val="en-US" w:eastAsia="zh-CN"/>
        </w:rPr>
      </w:pPr>
    </w:p>
    <w:p>
      <w:pPr>
        <w:widowControl w:val="0"/>
        <w:numPr>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（2）已输出落子动作对应的奖励权重，如图3-2所示，横坐标为落子动作的ID，纵坐标为对应的贡献百分比。</w:t>
      </w:r>
    </w:p>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2"/>
                    <a:stretch>
                      <a:fillRect/>
                    </a:stretch>
                  </pic:blipFill>
                  <pic:spPr>
                    <a:xfrm>
                      <a:off x="0" y="0"/>
                      <a:ext cx="5609590" cy="2804795"/>
                    </a:xfrm>
                    <a:prstGeom prst="rect">
                      <a:avLst/>
                    </a:prstGeom>
                  </pic:spPr>
                </pic:pic>
              </a:graphicData>
            </a:graphic>
          </wp:inline>
        </w:drawing>
      </w:r>
    </w:p>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numId w:val="0"/>
        </w:numPr>
        <w:spacing w:line="360" w:lineRule="auto"/>
        <w:rPr>
          <w:rFonts w:hint="default" w:ascii="宋体" w:hAnsi="宋体" w:eastAsia="宋体" w:cs="宋体"/>
          <w:sz w:val="24"/>
          <w:szCs w:val="24"/>
          <w:lang w:val="en-US" w:eastAsia="zh-CN"/>
        </w:rPr>
      </w:pP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（3）已输出AlphaGo Zero【参考4】的奖励分配方式（所有动作都得到相同的奖励分配，即平均分配方式）和本论文的奖励分配方式对比结果，如图3-3所示，作为后续分析使用。</w:t>
      </w:r>
    </w:p>
    <w:p>
      <w:pPr>
        <w:spacing w:line="360" w:lineRule="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缺图3-3</w:t>
      </w:r>
      <w:r>
        <w:rPr>
          <w:rFonts w:hint="eastAsia" w:ascii="宋体" w:hAnsi="宋体" w:eastAsia="宋体" w:cs="宋体"/>
          <w:lang w:eastAsia="zh-CN"/>
        </w:rPr>
        <w:t>】</w:t>
      </w: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比较本论文所展现的架构有何优势等问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bookmarkStart w:id="0" w:name="_GoBack"/>
      <w:bookmarkEnd w:id="0"/>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 将实施该奖励分配方案，其中奖励主要集中在每个落子序列的最后一个动作，以验证这种方法是否能够提高性能。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 将尝试根据时间衰减策略分配奖励，逐渐降低早期动作的奖励权重，以探索这种方式是否能够更好地平衡长期和短期奖励。</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 我们将引入其他带有注意力机制的模型，例如Transformer等，与我们的架构进行比较，以揭示不同架构之间的优势和劣势。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 将对本论文提出的架构进行消融实验，逐步去除注意力机制等关键组件，以验证这些组件对于模型性能的贡献。</w:t>
      </w:r>
    </w:p>
    <w:p>
      <w:pPr>
        <w:widowControl w:val="0"/>
        <w:numPr>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为了更好地解释我们的奖励分配架构如何提升强化学习效率，将采取以下措施：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集成象棋博弈系统： 将我们的奖励分配架构应用于象棋博弈系统，通过在实际场景中的应用来验证其效果，同时从实际案例中提取具体的效率提升情况和原因。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 我们将进行对模型决策的解释性分析，例如通过可视化注意力权重等方式，揭示模型在不同决策点上的关注重点，从而增加模型解释性。</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基于以上计划，将继续完成论文撰写，预计2023年11月完成论文初稿。</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参考文献</w:t>
      </w:r>
    </w:p>
    <w:p>
      <w:pPr>
        <w:spacing w:line="360" w:lineRule="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RUDDER: Return Decomposition for Delayed Rewards</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】Deep Neural Net with Attention for Multi-channel Multi-touch Attribution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】Sentence-BERT: Sentence Embeddings using Siamese BERT-Networks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 w:id="1">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245E72A7"/>
    <w:rsid w:val="016B7D45"/>
    <w:rsid w:val="03E63E04"/>
    <w:rsid w:val="1E773ABB"/>
    <w:rsid w:val="1F690195"/>
    <w:rsid w:val="245E72A7"/>
    <w:rsid w:val="25A62D0F"/>
    <w:rsid w:val="27856A7C"/>
    <w:rsid w:val="2A705F79"/>
    <w:rsid w:val="2E443976"/>
    <w:rsid w:val="2E8F6F29"/>
    <w:rsid w:val="357118F9"/>
    <w:rsid w:val="3EA60606"/>
    <w:rsid w:val="400A2176"/>
    <w:rsid w:val="490673F8"/>
    <w:rsid w:val="49E23E20"/>
    <w:rsid w:val="4FBE46AE"/>
    <w:rsid w:val="517D4BB0"/>
    <w:rsid w:val="59A25FC3"/>
    <w:rsid w:val="653C285D"/>
    <w:rsid w:val="66CA7430"/>
    <w:rsid w:val="6BFE32CE"/>
    <w:rsid w:val="6C215CE4"/>
    <w:rsid w:val="6DF7472C"/>
    <w:rsid w:val="6E1958FC"/>
    <w:rsid w:val="70BD01D7"/>
    <w:rsid w:val="73E40759"/>
    <w:rsid w:val="7AD1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111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2023-08-23T05:31:28Z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C967183578764EC19CB6F36678C83B43</vt:lpwstr>
  </property>
</Properties>
</file>