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numId w:val="0"/>
        </w:numPr>
        <w:spacing w:line="240" w:lineRule="auto"/>
        <w:jc w:val="both"/>
        <w:rPr>
          <w:rFonts w:hint="default"/>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w:t>
      </w:r>
      <w:bookmarkStart w:id="0" w:name="_GoBack"/>
      <w:bookmarkEnd w:id="0"/>
      <w:r>
        <w:rPr>
          <w:rFonts w:hint="eastAsia"/>
          <w:lang w:val="en-US" w:eastAsia="zh-Hans"/>
        </w:rPr>
        <w:t>。这时，往往会考虑：使用哪种聚类算法更适合于特定场景？还有，如何衡量这些聚类算法的性能好坏？接下来本文将从如下几个方面进行相关阐述：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第三章列举四种不同场景下常用的聚类算法概念及其设计思想。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5" descr="wpsoffice"/>
                    <pic:cNvPicPr>
                      <a:picLocks noChangeAspect="1"/>
                    </pic:cNvPicPr>
                  </pic:nvPicPr>
                  <pic:blipFill>
                    <a:blip r:embed="rId4"/>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5"/>
                    <a:stretch>
                      <a:fillRect/>
                    </a:stretch>
                  </pic:blipFill>
                  <pic:spPr>
                    <a:xfrm>
                      <a:off x="0" y="0"/>
                      <a:ext cx="2265680" cy="405765"/>
                    </a:xfrm>
                    <a:prstGeom prst="rect">
                      <a:avLst/>
                    </a:prstGeom>
                  </pic:spPr>
                </pic:pic>
              </a:graphicData>
            </a:graphic>
          </wp:inline>
        </w:drawing>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045970" cy="476250"/>
            <wp:effectExtent l="0" t="0" r="11430" b="6350"/>
            <wp:docPr id="3" name="334E55B0-647D-440b-865C-3EC943EB4CBC-9"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9" descr="/private/var/folders/4b/b2hj0zj524lbbtvttkfwrkbw0000gp/T/com.kingsoft.wpsoffice.mac/wpsoffice.WGqhzawpsoffice"/>
                    <pic:cNvPicPr>
                      <a:picLocks noChangeAspect="1"/>
                    </pic:cNvPicPr>
                  </pic:nvPicPr>
                  <pic:blipFill>
                    <a:blip r:embed="rId6"/>
                    <a:stretch>
                      <a:fillRect/>
                    </a:stretch>
                  </pic:blipFill>
                  <pic:spPr>
                    <a:xfrm>
                      <a:off x="0" y="0"/>
                      <a:ext cx="2045970" cy="476250"/>
                    </a:xfrm>
                    <a:prstGeom prst="rect">
                      <a:avLst/>
                    </a:prstGeom>
                  </pic:spPr>
                </pic:pic>
              </a:graphicData>
            </a:graphic>
          </wp:inline>
        </w:drawing>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2" descr="wpsoffice"/>
                    <pic:cNvPicPr>
                      <a:picLocks noChangeAspect="1"/>
                    </pic:cNvPicPr>
                  </pic:nvPicPr>
                  <pic:blipFill>
                    <a:blip r:embed="rId7"/>
                    <a:stretch>
                      <a:fillRect/>
                    </a:stretch>
                  </pic:blipFill>
                  <pic:spPr>
                    <a:xfrm>
                      <a:off x="0" y="0"/>
                      <a:ext cx="2207895" cy="42481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wpsoffice"/>
                    <pic:cNvPicPr>
                      <a:picLocks noChangeAspect="1"/>
                    </pic:cNvPicPr>
                  </pic:nvPicPr>
                  <pic:blipFill>
                    <a:blip r:embed="rId8"/>
                    <a:stretch>
                      <a:fillRect/>
                    </a:stretch>
                  </pic:blipFill>
                  <pic:spPr>
                    <a:xfrm>
                      <a:off x="0" y="0"/>
                      <a:ext cx="1210945" cy="37338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4" descr="wpsoffice"/>
                    <pic:cNvPicPr>
                      <a:picLocks noChangeAspect="1"/>
                    </pic:cNvPicPr>
                  </pic:nvPicPr>
                  <pic:blipFill>
                    <a:blip r:embed="rId9"/>
                    <a:stretch>
                      <a:fillRect/>
                    </a:stretch>
                  </pic:blipFill>
                  <pic:spPr>
                    <a:xfrm>
                      <a:off x="0" y="0"/>
                      <a:ext cx="1280795" cy="358775"/>
                    </a:xfrm>
                    <a:prstGeom prst="rect">
                      <a:avLst/>
                    </a:prstGeom>
                  </pic:spPr>
                </pic:pic>
              </a:graphicData>
            </a:graphic>
          </wp:inline>
        </w:drawing>
      </w:r>
    </w:p>
    <w:p>
      <w:pPr>
        <w:widowControl w:val="0"/>
        <w:numPr>
          <w:numId w:val="0"/>
        </w:numPr>
        <w:spacing w:line="240" w:lineRule="auto"/>
        <w:jc w:val="both"/>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5" descr="wpsoffice"/>
                    <pic:cNvPicPr>
                      <a:picLocks noChangeAspect="1"/>
                    </pic:cNvPicPr>
                  </pic:nvPicPr>
                  <pic:blipFill>
                    <a:blip r:embed="rId10"/>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6" descr="wpsoffice"/>
                    <pic:cNvPicPr>
                      <a:picLocks noChangeAspect="1"/>
                    </pic:cNvPicPr>
                  </pic:nvPicPr>
                  <pic:blipFill>
                    <a:blip r:embed="rId11"/>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8" descr="wpsoffice"/>
                    <pic:cNvPicPr>
                      <a:picLocks noChangeAspect="1"/>
                    </pic:cNvPicPr>
                  </pic:nvPicPr>
                  <pic:blipFill>
                    <a:blip r:embed="rId12"/>
                    <a:stretch>
                      <a:fillRect/>
                    </a:stretch>
                  </pic:blipFill>
                  <pic:spPr>
                    <a:xfrm>
                      <a:off x="0" y="0"/>
                      <a:ext cx="1979930" cy="26797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w:t>
      </w:r>
      <w:r>
        <w:rPr>
          <w:rFonts w:hint="default"/>
          <w:lang w:eastAsia="zh-Hans"/>
        </w:rPr>
        <w:t>[</w:t>
      </w:r>
      <w:r>
        <w:rPr>
          <w:rFonts w:hint="eastAsia"/>
          <w:lang w:val="en-US" w:eastAsia="zh-Hans"/>
        </w:rPr>
        <w:t>hoho引用</w:t>
      </w:r>
      <w:r>
        <w:rPr>
          <w:rFonts w:hint="default"/>
          <w:lang w:eastAsia="zh-Hans"/>
        </w:rPr>
        <w:t>1]</w:t>
      </w:r>
      <w:r>
        <w:rPr>
          <w:rFonts w:hint="eastAsia"/>
          <w:lang w:val="en-US" w:eastAsia="zh-Hans"/>
        </w:rPr>
        <w:t>）衡量：</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9" descr="wpsoffice"/>
                    <pic:cNvPicPr>
                      <a:picLocks noChangeAspect="1"/>
                    </pic:cNvPicPr>
                  </pic:nvPicPr>
                  <pic:blipFill>
                    <a:blip r:embed="rId13"/>
                    <a:stretch>
                      <a:fillRect/>
                    </a:stretch>
                  </pic:blipFill>
                  <pic:spPr>
                    <a:xfrm>
                      <a:off x="0" y="0"/>
                      <a:ext cx="2228215" cy="41084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20"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0" descr="/private/var/folders/4b/b2hj0zj524lbbtvttkfwrkbw0000gp/T/com.kingsoft.wpsoffice.mac/wpsoffice.akprRhwpsoffice"/>
                    <pic:cNvPicPr>
                      <a:picLocks noChangeAspect="1"/>
                    </pic:cNvPicPr>
                  </pic:nvPicPr>
                  <pic:blipFill>
                    <a:blip r:embed="rId14"/>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1" descr="wpsoffice"/>
                    <pic:cNvPicPr>
                      <a:picLocks noChangeAspect="1"/>
                    </pic:cNvPicPr>
                  </pic:nvPicPr>
                  <pic:blipFill>
                    <a:blip r:embed="rId15"/>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2" descr="wpsoffice"/>
                    <pic:cNvPicPr>
                      <a:picLocks noChangeAspect="1"/>
                    </pic:cNvPicPr>
                  </pic:nvPicPr>
                  <pic:blipFill>
                    <a:blip r:embed="rId16"/>
                    <a:stretch>
                      <a:fillRect/>
                    </a:stretch>
                  </pic:blipFill>
                  <pic:spPr>
                    <a:xfrm>
                      <a:off x="0" y="0"/>
                      <a:ext cx="3736975" cy="38735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有了如上这些距离度量，就可以进行性能度量。</w:t>
      </w:r>
    </w:p>
    <w:p>
      <w:pPr>
        <w:widowControl w:val="0"/>
        <w:numPr>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lang w:val="en-US" w:eastAsia="zh-Hans"/>
        </w:rPr>
      </w:pPr>
      <w:r>
        <w:rPr>
          <w:rFonts w:hint="eastAsia"/>
          <w:lang w:val="en-US" w:eastAsia="zh-Hans"/>
        </w:rPr>
        <w:t>外部指标</w:t>
      </w:r>
    </w:p>
    <w:p>
      <w:pPr>
        <w:widowControl w:val="0"/>
        <w:numPr>
          <w:numId w:val="0"/>
        </w:numPr>
        <w:spacing w:line="240" w:lineRule="auto"/>
        <w:jc w:val="both"/>
        <w:rPr>
          <w:rFonts w:hint="eastAsia"/>
          <w:lang w:val="en-US" w:eastAsia="zh-Hans"/>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numId w:val="0"/>
        </w:numPr>
        <w:spacing w:line="240" w:lineRule="auto"/>
        <w:jc w:val="both"/>
        <w:rPr>
          <w:rFonts w:hint="eastAsia"/>
          <w:lang w:val="en-US" w:eastAsia="zh-Hans"/>
        </w:rPr>
      </w:pP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tcBorders>
              <w:tl2br w:val="nil"/>
              <w:tr2bl w:val="nil"/>
            </w:tcBorders>
          </w:tcPr>
          <w:p>
            <w:pPr>
              <w:widowControl w:val="0"/>
              <w:numPr>
                <w:numId w:val="0"/>
              </w:numPr>
              <w:spacing w:line="240" w:lineRule="auto"/>
              <w:jc w:val="both"/>
              <w:rPr>
                <w:rFonts w:hint="eastAsia"/>
                <w:vertAlign w:val="baseline"/>
                <w:lang w:val="en-US" w:eastAsia="zh-Hans"/>
              </w:rPr>
            </w:pPr>
          </w:p>
        </w:tc>
        <w:tc>
          <w:tcPr>
            <w:tcW w:w="6392" w:type="dxa"/>
            <w:gridSpan w:val="3"/>
            <w:tcBorders>
              <w:tl2br w:val="nil"/>
              <w:tr2bl w:val="nil"/>
            </w:tcBorders>
          </w:tcPr>
          <w:p>
            <w:pPr>
              <w:widowControl w:val="0"/>
              <w:numPr>
                <w:numId w:val="0"/>
              </w:numPr>
              <w:spacing w:line="240" w:lineRule="auto"/>
              <w:jc w:val="center"/>
              <w:rPr>
                <w:rFonts w:hint="eastAsia"/>
                <w:vertAlign w:val="baseline"/>
                <w:lang w:val="en-US" w:eastAsia="zh-Hans"/>
              </w:rPr>
            </w:pPr>
            <w:r>
              <w:rPr>
                <w:rFonts w:hint="default"/>
                <w:vertAlign w:val="baseline"/>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restart"/>
            <w:tcBorders>
              <w:tl2br w:val="nil"/>
              <w:tr2bl w:val="nil"/>
            </w:tcBorders>
          </w:tcPr>
          <w:p>
            <w:pPr>
              <w:widowControl w:val="0"/>
              <w:numPr>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bottom w:val="single" w:color="000000" w:sz="18" w:space="0"/>
              <w:tl2br w:val="nil"/>
              <w:tr2bl w:val="nil"/>
            </w:tcBorders>
          </w:tcPr>
          <w:p>
            <w:pPr>
              <w:widowControl w:val="0"/>
              <w:numPr>
                <w:numId w:val="0"/>
              </w:numPr>
              <w:spacing w:line="240" w:lineRule="auto"/>
              <w:jc w:val="both"/>
              <w:rPr>
                <w:rFonts w:hint="eastAsia"/>
                <w:vertAlign w:val="baseline"/>
                <w:lang w:val="en-US" w:eastAsia="zh-Hans"/>
              </w:rPr>
            </w:pPr>
          </w:p>
        </w:tc>
        <w:tc>
          <w:tcPr>
            <w:tcW w:w="2131" w:type="dxa"/>
            <w:tcBorders>
              <w:bottom w:val="single" w:color="000000" w:sz="18"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bottom w:val="single" w:color="000000" w:sz="18"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continue"/>
            <w:tcBorders>
              <w:tl2br w:val="nil"/>
              <w:tr2bl w:val="nil"/>
            </w:tcBorders>
          </w:tcPr>
          <w:p>
            <w:pPr>
              <w:widowControl w:val="0"/>
              <w:numPr>
                <w:numId w:val="0"/>
              </w:numPr>
              <w:spacing w:line="240" w:lineRule="auto"/>
              <w:jc w:val="both"/>
              <w:rPr>
                <w:rFonts w:hint="eastAsia"/>
                <w:vertAlign w:val="baseline"/>
                <w:lang w:val="en-US" w:eastAsia="zh-Hans"/>
              </w:rPr>
            </w:pPr>
          </w:p>
        </w:tc>
        <w:tc>
          <w:tcPr>
            <w:tcW w:w="2130" w:type="dxa"/>
            <w:tcBorders>
              <w:top w:val="single" w:color="000000" w:sz="18"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8"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8" w:space="0"/>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2130" w:type="dxa"/>
            <w:vMerge w:val="continue"/>
            <w:tcBorders>
              <w:tl2br w:val="nil"/>
              <w:tr2bl w:val="nil"/>
            </w:tcBorders>
          </w:tcPr>
          <w:p>
            <w:pPr>
              <w:widowControl w:val="0"/>
              <w:numPr>
                <w:numId w:val="0"/>
              </w:numPr>
              <w:spacing w:line="240" w:lineRule="auto"/>
              <w:jc w:val="both"/>
              <w:rPr>
                <w:rFonts w:hint="eastAsia"/>
                <w:vertAlign w:val="baseline"/>
                <w:lang w:val="en-US" w:eastAsia="zh-Hans"/>
              </w:rPr>
            </w:pPr>
          </w:p>
        </w:tc>
        <w:tc>
          <w:tcPr>
            <w:tcW w:w="2130"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numId w:val="0"/>
        </w:numPr>
        <w:spacing w:line="240" w:lineRule="auto"/>
        <w:jc w:val="both"/>
        <w:rPr>
          <w:rFonts w:hint="eastAsia"/>
          <w:lang w:eastAsia="zh-Hans"/>
        </w:rPr>
      </w:pPr>
    </w:p>
    <w:p>
      <w:pPr>
        <w:widowControl w:val="0"/>
        <w:numPr>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p>
      <w:pPr>
        <w:widowControl w:val="0"/>
        <w:numPr>
          <w:numId w:val="0"/>
        </w:numPr>
        <w:spacing w:line="240" w:lineRule="auto"/>
        <w:jc w:val="both"/>
        <w:rPr>
          <w:rFonts w:hint="eastAsia"/>
          <w:lang w:val="en-US" w:eastAsia="zh-Hans"/>
        </w:rPr>
      </w:pPr>
    </w:p>
    <w:p>
      <w:pPr>
        <w:widowControl w:val="0"/>
        <w:numPr>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8" descr="wpsoffice"/>
                    <pic:cNvPicPr>
                      <a:picLocks noChangeAspect="1"/>
                    </pic:cNvPicPr>
                  </pic:nvPicPr>
                  <pic:blipFill>
                    <a:blip r:embed="rId17"/>
                    <a:stretch>
                      <a:fillRect/>
                    </a:stretch>
                  </pic:blipFill>
                  <pic:spPr>
                    <a:xfrm>
                      <a:off x="0" y="0"/>
                      <a:ext cx="1483360" cy="31686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27" descr="wpsoffice"/>
                    <pic:cNvPicPr>
                      <a:picLocks noChangeAspect="1"/>
                    </pic:cNvPicPr>
                  </pic:nvPicPr>
                  <pic:blipFill>
                    <a:blip r:embed="rId18"/>
                    <a:stretch>
                      <a:fillRect/>
                    </a:stretch>
                  </pic:blipFill>
                  <pic:spPr>
                    <a:xfrm>
                      <a:off x="0" y="0"/>
                      <a:ext cx="1957070" cy="320675"/>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29" descr="wpsoffice"/>
                    <pic:cNvPicPr>
                      <a:picLocks noChangeAspect="1"/>
                    </pic:cNvPicPr>
                  </pic:nvPicPr>
                  <pic:blipFill>
                    <a:blip r:embed="rId19"/>
                    <a:stretch>
                      <a:fillRect/>
                    </a:stretch>
                  </pic:blipFill>
                  <pic:spPr>
                    <a:xfrm>
                      <a:off x="0" y="0"/>
                      <a:ext cx="1091565" cy="30670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其中N为样本的数量。</w:t>
      </w:r>
    </w:p>
    <w:p>
      <w:pPr>
        <w:widowControl w:val="0"/>
        <w:numPr>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numId w:val="0"/>
        </w:numPr>
        <w:spacing w:line="240" w:lineRule="auto"/>
        <w:jc w:val="both"/>
        <w:rPr>
          <w:rFonts w:hint="eastAsia"/>
          <w:lang w:val="en-US" w:eastAsia="zh-Hans"/>
        </w:rPr>
      </w:pPr>
    </w:p>
    <w:p>
      <w:pPr>
        <w:widowControl w:val="0"/>
        <w:numPr>
          <w:ilvl w:val="0"/>
          <w:numId w:val="4"/>
        </w:numPr>
        <w:spacing w:line="240" w:lineRule="auto"/>
        <w:jc w:val="both"/>
        <w:rPr>
          <w:rFonts w:hint="eastAsia"/>
          <w:lang w:eastAsia="zh-CN"/>
        </w:rPr>
      </w:pPr>
      <w:r>
        <w:rPr>
          <w:rFonts w:hint="eastAsia"/>
          <w:lang w:val="en-US" w:eastAsia="zh-Hans"/>
        </w:rPr>
        <w:t>内部指标</w:t>
      </w:r>
    </w:p>
    <w:p>
      <w:pPr>
        <w:widowControl w:val="0"/>
        <w:numPr>
          <w:numId w:val="0"/>
        </w:numPr>
        <w:spacing w:line="240" w:lineRule="auto"/>
        <w:jc w:val="both"/>
        <w:rPr>
          <w:rFonts w:hint="eastAsia"/>
          <w:lang w:val="en-US" w:eastAsia="zh-CN"/>
        </w:rPr>
      </w:pPr>
    </w:p>
    <w:p>
      <w:pPr>
        <w:widowControl w:val="0"/>
        <w:numPr>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30" descr="wpsoffice"/>
                    <pic:cNvPicPr>
                      <a:picLocks noChangeAspect="1"/>
                    </pic:cNvPicPr>
                  </pic:nvPicPr>
                  <pic:blipFill>
                    <a:blip r:embed="rId20"/>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33" descr="wpsoffice"/>
                    <pic:cNvPicPr>
                      <a:picLocks noChangeAspect="1"/>
                    </pic:cNvPicPr>
                  </pic:nvPicPr>
                  <pic:blipFill>
                    <a:blip r:embed="rId21"/>
                    <a:stretch>
                      <a:fillRect/>
                    </a:stretch>
                  </pic:blipFill>
                  <pic:spPr>
                    <a:xfrm>
                      <a:off x="0" y="0"/>
                      <a:ext cx="2499360" cy="364490"/>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32" descr="wpsoffice"/>
                    <pic:cNvPicPr>
                      <a:picLocks noChangeAspect="1"/>
                    </pic:cNvPicPr>
                  </pic:nvPicPr>
                  <pic:blipFill>
                    <a:blip r:embed="rId22"/>
                    <a:stretch>
                      <a:fillRect/>
                    </a:stretch>
                  </pic:blipFill>
                  <pic:spPr>
                    <a:xfrm>
                      <a:off x="0" y="0"/>
                      <a:ext cx="2109470" cy="244475"/>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23495" b="0"/>
            <wp:docPr id="2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38" descr="wpsoffice"/>
                    <pic:cNvPicPr>
                      <a:picLocks noChangeAspect="1"/>
                    </pic:cNvPicPr>
                  </pic:nvPicPr>
                  <pic:blipFill>
                    <a:blip r:embed="rId23"/>
                    <a:stretch>
                      <a:fillRect/>
                    </a:stretch>
                  </pic:blipFill>
                  <pic:spPr>
                    <a:xfrm>
                      <a:off x="0" y="0"/>
                      <a:ext cx="2618105" cy="254000"/>
                    </a:xfrm>
                    <a:prstGeom prst="rect">
                      <a:avLst/>
                    </a:prstGeom>
                  </pic:spPr>
                </pic:pic>
              </a:graphicData>
            </a:graphic>
          </wp:inline>
        </w:drawing>
      </w:r>
    </w:p>
    <w:p>
      <w:pPr>
        <w:widowControl w:val="0"/>
        <w:numPr>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39"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39" descr="/private/var/folders/4b/b2hj0zj524lbbtvttkfwrkbw0000gp/T/com.kingsoft.wpsoffice.mac/wpsoffice.jFkymGwpsoffice"/>
                    <pic:cNvPicPr>
                      <a:picLocks noChangeAspect="1"/>
                    </pic:cNvPicPr>
                  </pic:nvPicPr>
                  <pic:blipFill>
                    <a:blip r:embed="rId24"/>
                    <a:stretch>
                      <a:fillRect/>
                    </a:stretch>
                  </pic:blipFill>
                  <pic:spPr>
                    <a:xfrm>
                      <a:off x="0" y="0"/>
                      <a:ext cx="3133090" cy="413385"/>
                    </a:xfrm>
                    <a:prstGeom prst="rect">
                      <a:avLst/>
                    </a:prstGeom>
                  </pic:spPr>
                </pic:pic>
              </a:graphicData>
            </a:graphic>
          </wp:inline>
        </w:drawing>
      </w:r>
    </w:p>
    <w:p>
      <w:pPr>
        <w:widowControl w:val="0"/>
        <w:numPr>
          <w:numId w:val="0"/>
        </w:numPr>
        <w:spacing w:line="240" w:lineRule="auto"/>
        <w:jc w:val="center"/>
        <w:rPr>
          <w:rFonts w:hint="eastAsia"/>
          <w:lang w:eastAsia="zh-Hans"/>
        </w:rPr>
      </w:pPr>
    </w:p>
    <w:p>
      <w:pPr>
        <w:widowControl w:val="0"/>
        <w:numPr>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40" descr="wpsoffice"/>
                    <pic:cNvPicPr>
                      <a:picLocks noChangeAspect="1"/>
                    </pic:cNvPicPr>
                  </pic:nvPicPr>
                  <pic:blipFill>
                    <a:blip r:embed="rId25"/>
                    <a:stretch>
                      <a:fillRect/>
                    </a:stretch>
                  </pic:blipFill>
                  <pic:spPr>
                    <a:xfrm>
                      <a:off x="0" y="0"/>
                      <a:ext cx="2129790" cy="369570"/>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显然值越小越好。</w:t>
      </w:r>
    </w:p>
    <w:p>
      <w:pPr>
        <w:widowControl w:val="0"/>
        <w:numPr>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41" descr="wpsoffice"/>
                    <pic:cNvPicPr>
                      <a:picLocks noChangeAspect="1"/>
                    </pic:cNvPicPr>
                  </pic:nvPicPr>
                  <pic:blipFill>
                    <a:blip r:embed="rId26"/>
                    <a:stretch>
                      <a:fillRect/>
                    </a:stretch>
                  </pic:blipFill>
                  <pic:spPr>
                    <a:xfrm>
                      <a:off x="0" y="0"/>
                      <a:ext cx="1983105" cy="379095"/>
                    </a:xfrm>
                    <a:prstGeom prst="rect">
                      <a:avLst/>
                    </a:prstGeom>
                  </pic:spPr>
                </pic:pic>
              </a:graphicData>
            </a:graphic>
          </wp:inline>
        </w:drawing>
      </w:r>
    </w:p>
    <w:p>
      <w:pPr>
        <w:widowControl w:val="0"/>
        <w:numPr>
          <w:numId w:val="0"/>
        </w:numPr>
        <w:spacing w:line="240" w:lineRule="auto"/>
        <w:jc w:val="both"/>
        <w:rPr>
          <w:rFonts w:hint="eastAsia"/>
          <w:lang w:val="en-US" w:eastAsia="zh-Hans"/>
        </w:rPr>
      </w:pPr>
      <w:r>
        <w:rPr>
          <w:rFonts w:hint="eastAsia"/>
          <w:lang w:val="en-US" w:eastAsia="zh-Hans"/>
        </w:rPr>
        <w:t>DI则相反，值越大越好。</w:t>
      </w:r>
    </w:p>
    <w:p>
      <w:pPr>
        <w:widowControl w:val="0"/>
        <w:numPr>
          <w:numId w:val="0"/>
        </w:numPr>
        <w:spacing w:line="240" w:lineRule="auto"/>
        <w:jc w:val="both"/>
        <w:rPr>
          <w:rFonts w:hint="default"/>
          <w:lang w:val="en-US" w:eastAsia="zh-CN"/>
        </w:rPr>
      </w:pPr>
    </w:p>
    <w:p>
      <w:pPr>
        <w:widowControl w:val="0"/>
        <w:numPr>
          <w:numId w:val="0"/>
        </w:numPr>
        <w:spacing w:line="240" w:lineRule="auto"/>
        <w:jc w:val="both"/>
        <w:rPr>
          <w:rFonts w:hint="default"/>
          <w:lang w:val="en-US" w:eastAsia="zh-CN"/>
        </w:rPr>
      </w:pPr>
    </w:p>
    <w:p>
      <w:pPr>
        <w:numPr>
          <w:ilvl w:val="0"/>
          <w:numId w:val="1"/>
        </w:numPr>
        <w:spacing w:line="240" w:lineRule="auto"/>
        <w:rPr>
          <w:rFonts w:hint="default"/>
          <w:lang w:val="en-US" w:eastAsia="zh-CN"/>
        </w:rPr>
      </w:pPr>
      <w:r>
        <w:rPr>
          <w:rFonts w:hint="eastAsia"/>
          <w:lang w:val="en-US" w:eastAsia="zh-CN"/>
        </w:rPr>
        <w:t>聚类算法</w:t>
      </w:r>
    </w:p>
    <w:p>
      <w:pPr>
        <w:widowControl w:val="0"/>
        <w:numPr>
          <w:numId w:val="0"/>
        </w:numPr>
        <w:spacing w:line="240" w:lineRule="auto"/>
        <w:jc w:val="both"/>
        <w:rPr>
          <w:rFonts w:hint="default"/>
          <w:lang w:val="en-US" w:eastAsia="zh-CN"/>
        </w:rPr>
      </w:pPr>
    </w:p>
    <w:p>
      <w:pPr>
        <w:widowControl w:val="0"/>
        <w:numPr>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聚类算法种类有很多，以下将根据数据聚类进行中的组织方式回顾四四大类常用的聚类算法。</w:t>
      </w:r>
      <w:r>
        <w:rPr>
          <w:rFonts w:hint="default"/>
          <w:lang w:eastAsia="zh-Hans"/>
        </w:rPr>
        <w:t xml:space="preserve"> </w:t>
      </w:r>
    </w:p>
    <w:p>
      <w:pPr>
        <w:widowControl w:val="0"/>
        <w:numPr>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lang w:val="en-US" w:eastAsia="zh-CN"/>
        </w:rPr>
      </w:pPr>
      <w:r>
        <w:rPr>
          <w:rFonts w:hint="eastAsia"/>
          <w:lang w:val="en-US" w:eastAsia="zh-CN"/>
        </w:rPr>
        <w:t>基于划分</w:t>
      </w:r>
      <w:r>
        <w:rPr>
          <w:rFonts w:hint="eastAsia"/>
          <w:lang w:val="en-US" w:eastAsia="zh-Hans"/>
        </w:rPr>
        <w:t>的聚类</w:t>
      </w:r>
    </w:p>
    <w:p>
      <w:pPr>
        <w:widowControl w:val="0"/>
        <w:numPr>
          <w:numId w:val="0"/>
        </w:numPr>
        <w:spacing w:line="240" w:lineRule="auto"/>
        <w:jc w:val="both"/>
        <w:rPr>
          <w:rFonts w:hint="eastAsia"/>
          <w:lang w:val="en-US" w:eastAsia="zh-CN"/>
        </w:rPr>
      </w:pPr>
    </w:p>
    <w:p>
      <w:pPr>
        <w:widowControl w:val="0"/>
        <w:numPr>
          <w:ilvl w:val="0"/>
          <w:numId w:val="7"/>
        </w:numPr>
        <w:spacing w:line="240" w:lineRule="auto"/>
        <w:jc w:val="both"/>
        <w:rPr>
          <w:rFonts w:hint="default"/>
          <w:lang w:val="en-US" w:eastAsia="zh-CN"/>
        </w:rPr>
      </w:pPr>
      <w:r>
        <w:rPr>
          <w:rFonts w:hint="eastAsia"/>
          <w:lang w:val="en-US" w:eastAsia="zh-CN"/>
        </w:rPr>
        <w:t>基于密度</w:t>
      </w:r>
      <w:r>
        <w:rPr>
          <w:rFonts w:hint="eastAsia"/>
          <w:lang w:val="en-US" w:eastAsia="zh-Hans"/>
        </w:rPr>
        <w:t>的聚类</w:t>
      </w:r>
    </w:p>
    <w:p>
      <w:pPr>
        <w:widowControl w:val="0"/>
        <w:numPr>
          <w:ilvl w:val="0"/>
          <w:numId w:val="7"/>
        </w:numPr>
        <w:spacing w:line="240" w:lineRule="auto"/>
        <w:jc w:val="both"/>
        <w:rPr>
          <w:rFonts w:hint="default"/>
          <w:lang w:val="en-US" w:eastAsia="zh-CN"/>
        </w:rPr>
      </w:pPr>
      <w:r>
        <w:rPr>
          <w:rFonts w:hint="eastAsia"/>
          <w:lang w:val="en-US" w:eastAsia="zh-CN"/>
        </w:rPr>
        <w:t>基于层次</w:t>
      </w:r>
      <w:r>
        <w:rPr>
          <w:rFonts w:hint="eastAsia"/>
          <w:lang w:val="en-US" w:eastAsia="zh-Hans"/>
        </w:rPr>
        <w:t>的聚类</w:t>
      </w:r>
    </w:p>
    <w:p>
      <w:pPr>
        <w:widowControl w:val="0"/>
        <w:numPr>
          <w:ilvl w:val="0"/>
          <w:numId w:val="7"/>
        </w:numPr>
        <w:spacing w:line="240" w:lineRule="auto"/>
        <w:jc w:val="both"/>
        <w:rPr>
          <w:rFonts w:hint="default"/>
          <w:lang w:val="en-US" w:eastAsia="zh-CN"/>
        </w:rPr>
      </w:pPr>
      <w:r>
        <w:rPr>
          <w:rFonts w:hint="eastAsia"/>
          <w:lang w:val="en-US" w:eastAsia="zh-CN"/>
        </w:rPr>
        <w:t>基于网格方法</w:t>
      </w:r>
      <w:r>
        <w:rPr>
          <w:rFonts w:hint="eastAsia"/>
          <w:lang w:val="en-US" w:eastAsia="zh-Hans"/>
        </w:rPr>
        <w:t>的聚类</w:t>
      </w:r>
    </w:p>
    <w:p>
      <w:pPr>
        <w:widowControl w:val="0"/>
        <w:numPr>
          <w:numId w:val="0"/>
        </w:numPr>
        <w:spacing w:line="240" w:lineRule="auto"/>
        <w:jc w:val="both"/>
        <w:rPr>
          <w:rFonts w:hint="default"/>
          <w:lang w:val="en-US" w:eastAsia="zh-CN"/>
        </w:rPr>
      </w:pPr>
    </w:p>
    <w:p>
      <w:pPr>
        <w:widowControl w:val="0"/>
        <w:numPr>
          <w:ilvl w:val="0"/>
          <w:numId w:val="8"/>
        </w:numPr>
        <w:spacing w:line="240" w:lineRule="auto"/>
        <w:jc w:val="both"/>
        <w:rPr>
          <w:rFonts w:hint="eastAsia"/>
          <w:lang w:val="en-US" w:eastAsia="zh-Hans"/>
        </w:rPr>
      </w:pPr>
      <w:r>
        <w:rPr>
          <w:rFonts w:hint="eastAsia"/>
          <w:lang w:val="en-US" w:eastAsia="zh-Hans"/>
        </w:rPr>
        <w:t>前景与展望</w:t>
      </w:r>
    </w:p>
    <w:p>
      <w:pPr>
        <w:widowControl w:val="0"/>
        <w:numPr>
          <w:ilvl w:val="0"/>
          <w:numId w:val="8"/>
        </w:numPr>
        <w:spacing w:line="240" w:lineRule="auto"/>
        <w:jc w:val="both"/>
        <w:rPr>
          <w:rFonts w:hint="default"/>
          <w:lang w:val="en-US" w:eastAsia="zh-CN"/>
        </w:rPr>
      </w:pPr>
      <w:r>
        <w:rPr>
          <w:rFonts w:hint="eastAsia"/>
          <w:lang w:val="en-US" w:eastAsia="zh-Hans"/>
        </w:rPr>
        <w:t>总结</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iawriter-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36EB547E"/>
    <w:rsid w:val="7A277B47"/>
    <w:rsid w:val="7FFB961D"/>
    <w:rsid w:val="EB17E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9">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11">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14">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16">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18">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20">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21">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22">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28">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29">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30">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32">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33">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39">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40">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41">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3</Characters>
  <Lines>0</Lines>
  <Paragraphs>0</Paragraphs>
  <TotalTime>0</TotalTime>
  <ScaleCrop>false</ScaleCrop>
  <LinksUpToDate>false</LinksUpToDate>
  <CharactersWithSpaces>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2022-07-06T22:28:00Z</dcterms:created>
  <dc:creator>Administrator</dc:creator>
  <cp:lastModifiedBy>kevinho</cp:lastModifiedBy>
  <dcterms:modified xsi:type="dcterms:W3CDTF">2022-07-07T18:15:23Z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4045E86CFCBD4B0CA836D2E2306B7F38</vt:lpwstr>
  </property>
</Properties>
</file>