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jc w:val="center"/>
        <w:rPr>
          <w:rFonts w:hint="default" w:ascii="Times New Roman" w:hAnsi="Times New Roman" w:cs="Times New Roman"/>
          <w:color w:val="000000" w:themeColor="text1"/>
          <w:sz w:val="20"/>
          <w:szCs w:val="20"/>
          <w:lang w:val="en-US" w:eastAsia="zh-CN"/>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sectPr>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特征进行</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w:t>
      </w:r>
      <w:r>
        <w:rPr>
          <w:rFonts w:hint="default" w:ascii="Times New Roman" w:hAnsi="Times New Roman" w:eastAsia="宋体" w:cs="Times New Roman"/>
          <w:color w:val="000000" w:themeColor="text1"/>
          <w:kern w:val="0"/>
          <w:sz w:val="20"/>
          <w:szCs w:val="20"/>
          <w14:textFill>
            <w14:solidFill>
              <w14:schemeClr w14:val="tx1"/>
            </w14:solidFill>
          </w14:textFill>
        </w:rPr>
        <w:t>模式识别，但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大部分</w:t>
      </w:r>
      <w:r>
        <w:rPr>
          <w:rFonts w:hint="default" w:ascii="Times New Roman" w:hAnsi="Times New Roman" w:eastAsia="宋体" w:cs="Times New Roman"/>
          <w:color w:val="000000" w:themeColor="text1"/>
          <w:kern w:val="0"/>
          <w:sz w:val="20"/>
          <w:szCs w:val="20"/>
          <w14:textFill>
            <w14:solidFill>
              <w14:schemeClr w14:val="tx1"/>
            </w14:solidFill>
          </w14:textFill>
        </w:rPr>
        <w:t>代码</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组织结构</w:t>
      </w:r>
      <w:r>
        <w:rPr>
          <w:rFonts w:hint="default" w:ascii="Times New Roman" w:hAnsi="Times New Roman" w:eastAsia="宋体" w:cs="Times New Roman"/>
          <w:color w:val="000000" w:themeColor="text1"/>
          <w:kern w:val="0"/>
          <w:sz w:val="20"/>
          <w:szCs w:val="20"/>
          <w14:textFill>
            <w14:solidFill>
              <w14:schemeClr w14:val="tx1"/>
            </w14:solidFill>
          </w14:textFill>
        </w:rPr>
        <w:t>譬如通过AST进行抽象后会消失，</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导致代码元素间相互依赖的语义难以捕捉，</w:t>
      </w:r>
      <w:r>
        <w:rPr>
          <w:rFonts w:hint="default" w:ascii="Times New Roman" w:hAnsi="Times New Roman" w:eastAsia="宋体" w:cs="Times New Roman"/>
          <w:color w:val="000000" w:themeColor="text1"/>
          <w:kern w:val="0"/>
          <w:sz w:val="20"/>
          <w:szCs w:val="20"/>
          <w14:textFill>
            <w14:solidFill>
              <w14:schemeClr w14:val="tx1"/>
            </w14:solidFill>
          </w14:textFill>
        </w:rPr>
        <w:t>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其次，已经有一些静态的漏洞分析工具可以帮助开发人员较快的识别漏洞。如 Clang Static Analyzer</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ind w:firstLine="300"/>
        <w:jc w:val="left"/>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如下：</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基于</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对源代码进行</w:t>
      </w:r>
      <w:r>
        <w:rPr>
          <w:rFonts w:hint="default" w:ascii="Times New Roman" w:hAnsi="Times New Roman" w:eastAsia="宋体" w:cs="Times New Roman"/>
          <w:color w:val="000000" w:themeColor="text1"/>
          <w:kern w:val="0"/>
          <w:sz w:val="20"/>
          <w:szCs w:val="20"/>
          <w14:textFill>
            <w14:solidFill>
              <w14:schemeClr w14:val="tx1"/>
            </w14:solidFill>
          </w14:textFill>
        </w:rPr>
        <w:t>词法分析</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方法，</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使用词嵌入技术将源代码编码为特征向量。</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使用深度学习方法提取</w:t>
      </w:r>
      <w:r>
        <w:rPr>
          <w:rFonts w:hint="default" w:ascii="Times New Roman" w:hAnsi="Times New Roman" w:eastAsia="宋体" w:cs="Times New Roman"/>
          <w:color w:val="000000" w:themeColor="text1"/>
          <w:kern w:val="0"/>
          <w:sz w:val="20"/>
          <w:szCs w:val="20"/>
          <w14:textFill>
            <w14:solidFill>
              <w14:schemeClr w14:val="tx1"/>
            </w14:solidFill>
          </w14:textFill>
        </w:rPr>
        <w:t>漏洞特征，从更广的语义依赖</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维度</w:t>
      </w:r>
      <w:r>
        <w:rPr>
          <w:rFonts w:hint="default" w:ascii="Times New Roman" w:hAnsi="Times New Roman" w:eastAsia="宋体" w:cs="Times New Roman"/>
          <w:color w:val="000000" w:themeColor="text1"/>
          <w:kern w:val="0"/>
          <w:sz w:val="20"/>
          <w:szCs w:val="20"/>
          <w14:textFill>
            <w14:solidFill>
              <w14:schemeClr w14:val="tx1"/>
            </w14:solidFill>
          </w14:textFill>
        </w:rPr>
        <w:t>进行漏洞模式识别，力求提高漏洞识别的准确率。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b/>
          <w:bCs/>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使用编译器对代码样本进行词法分析，即可将连续的代码语句切分为一个个词素，形容词素列表。本文使用的数据集是C语言代码数据集，选用Clang</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ADwALwBMAG8AYwBrAGUAZAA+AA0ACgA8AEMAZQBsAEkARAA+AGQAZQBmADkAZAAxADkAMgAtAGIA
OABjADQALQA0AGYAYgA2AC0AYQBjADEAZgAtADcAZgBhAGMAMAAwAGMAMwAxADMANgBmADwALwBD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CNKISM.Ref.{EEFF091D23344ee58765C08CE27B0483}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词嵌入方法，它是基于分布式表示的思想，可以反映不同代码元素的在特征空间的分布，从而表示出它们的相关程度。用此方法将每个划分出来的词素编码为数值，形成数值型向量表示。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1459865" cy="48641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59865" cy="48641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613025" cy="54673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13025" cy="546735"/>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rPr>
          <w:rFonts w:hint="default" w:ascii="Times New Roman" w:hAnsi="Times New Roman" w:eastAsia="宋体" w:cs="Times New Roman"/>
          <w:color w:val="000000" w:themeColor="text1"/>
          <w:kern w:val="0"/>
          <w:sz w:val="20"/>
          <w:szCs w:val="20"/>
          <w:lang w:val="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2320925" cy="7081520"/>
            <wp:effectExtent l="0" t="0" r="10795" b="5080"/>
            <wp:docPr id="12" name="图片 1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1"/>
                    <pic:cNvPicPr>
                      <a:picLocks noChangeAspect="1"/>
                    </pic:cNvPicPr>
                  </pic:nvPicPr>
                  <pic:blipFill>
                    <a:blip r:embed="rId7"/>
                    <a:stretch>
                      <a:fillRect/>
                    </a:stretch>
                  </pic:blipFill>
                  <pic:spPr>
                    <a:xfrm>
                      <a:off x="0" y="0"/>
                      <a:ext cx="2320925" cy="708152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 xml:space="preserve">图1 </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用户自定义的</w:t>
      </w:r>
      <w:r>
        <w:rPr>
          <w:rFonts w:hint="default" w:ascii="Times New Roman" w:hAnsi="Times New Roman" w:eastAsia="宋体" w:cs="Times New Roman"/>
          <w:color w:val="000000" w:themeColor="text1"/>
          <w:kern w:val="0"/>
          <w:sz w:val="16"/>
          <w:szCs w:val="16"/>
          <w14:textFill>
            <w14:solidFill>
              <w14:schemeClr w14:val="tx1"/>
            </w14:solidFill>
          </w14:textFill>
        </w:rPr>
        <w:t>代码标识符替换为通配符</w:t>
      </w:r>
    </w:p>
    <w:p>
      <w:pPr>
        <w:widowControl/>
        <w:spacing w:line="240" w:lineRule="auto"/>
        <w:jc w:val="both"/>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b/>
          <w:bCs/>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技术在图像领域中的成功经验，譬如可以共享网络权重，可以并行进行卷积运算，等，将CNN运用在语言处理中，区别是不像图像处理中的CNN是横向纵向两个维度做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对数据点进行</w:t>
      </w:r>
      <w:r>
        <w:rPr>
          <w:rFonts w:hint="default" w:ascii="Times New Roman" w:hAnsi="Times New Roman" w:eastAsia="宋体" w:cs="Times New Roman"/>
          <w:color w:val="000000" w:themeColor="text1"/>
          <w:kern w:val="0"/>
          <w:sz w:val="20"/>
          <w:szCs w:val="20"/>
          <w14:textFill>
            <w14:solidFill>
              <w14:schemeClr w14:val="tx1"/>
            </w14:solidFill>
          </w14:textFill>
        </w:rPr>
        <w:t>卷积运算，TextCNN只在一个维（纵向）做卷积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运算</w:t>
      </w:r>
      <w:r>
        <w:rPr>
          <w:rFonts w:hint="default" w:ascii="Times New Roman" w:hAnsi="Times New Roman" w:eastAsia="宋体" w:cs="Times New Roman"/>
          <w:color w:val="000000" w:themeColor="text1"/>
          <w:kern w:val="0"/>
          <w:sz w:val="20"/>
          <w:szCs w:val="20"/>
          <w14:textFill>
            <w14:solidFill>
              <w14:schemeClr w14:val="tx1"/>
            </w14:solidFill>
          </w14:textFill>
        </w:rPr>
        <w:t>，这要求卷积核的宽度必须等于经过word2vec之后词嵌入的维度。如图4所示。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59264" behindDoc="0" locked="0" layoutInCell="1" allowOverlap="1">
            <wp:simplePos x="0" y="0"/>
            <wp:positionH relativeFrom="column">
              <wp:posOffset>44450</wp:posOffset>
            </wp:positionH>
            <wp:positionV relativeFrom="paragraph">
              <wp:posOffset>53340</wp:posOffset>
            </wp:positionV>
            <wp:extent cx="3001010" cy="1147445"/>
            <wp:effectExtent l="0" t="0" r="127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1010" cy="1147445"/>
                    </a:xfrm>
                    <a:prstGeom prst="rect">
                      <a:avLst/>
                    </a:prstGeom>
                  </pic:spPr>
                </pic:pic>
              </a:graphicData>
            </a:graphic>
          </wp:anchor>
        </w:drawing>
      </w: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版本控制</w:t>
      </w:r>
      <w:r>
        <w:rPr>
          <w:rFonts w:hint="default" w:ascii="Times New Roman" w:hAnsi="Times New Roman" w:eastAsia="宋体" w:cs="Times New Roman"/>
          <w:color w:val="000000" w:themeColor="text1"/>
          <w:kern w:val="0"/>
          <w:sz w:val="20"/>
          <w:szCs w:val="20"/>
          <w14:textFill>
            <w14:solidFill>
              <w14:schemeClr w14:val="tx1"/>
            </w14:solidFill>
          </w14:textFill>
        </w:rPr>
        <w:t>提交</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哈希值、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标注和函数定义代码段，一共27296条样本数据，每条样本分别有0（有漏洞）和1（无漏洞）标注。本文将其中80%作为训练集，剩余20%作为测试集。每条样本的词素列表长度分布如图5所示。可见大部分样本包含代码词素的数量为2500以下</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故本文以2000作为样本最大的词素数量。对数据进行预处理时，若每条样本代码词素数量超过2000，则进行截断至2000大小，否则，则对样本进 行padding处理：用特殊标识符“&lt;pad&gt;”填充至2000长度。</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（1）输入层，代码词素列表经过embedding层后，编码成200维代码向量，再将每一个词素纵向堆叠，使得每个向量表示为2000x200的词嵌入矩阵。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（3）全连接层。这里设置两个隐藏层，第一个隐藏层大小即为以上卷积层输出的特征向量大小（400），后再接一个大小为64的全连接层。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输出层大小为2，分别对应两个类别（有漏洞或无漏洞），最后使用softmax函数计算两个类别的概率。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表1</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pPr>
    </w:p>
    <w:tbl>
      <w:tblPr>
        <w:tblStyle w:val="4"/>
        <w:tblpPr w:leftFromText="180" w:rightFromText="180" w:vertAnchor="text" w:horzAnchor="page" w:tblpX="6457" w:tblpY="521"/>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1"/>
        <w:gridCol w:w="33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1321" w:type="dxa"/>
            <w:tcBorders>
              <w:top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98" w:type="dxa"/>
            <w:tcBorders>
              <w:top w:val="single" w:color="000000" w:sz="12" w:space="0"/>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321"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98"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21"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98"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jc w:val="center"/>
        </w:trPr>
        <w:tc>
          <w:tcPr>
            <w:tcW w:w="1321" w:type="dxa"/>
            <w:tcBorders>
              <w:bottom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98" w:type="dxa"/>
            <w:tcBorders>
              <w:left w:val="single" w:color="000000" w:sz="6" w:space="0"/>
              <w:bottom w:val="single" w:color="000000" w:sz="12" w:space="0"/>
              <w:tl2br w:val="nil"/>
              <w:tr2bl w:val="nil"/>
            </w:tcBorders>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表1 指定代码元素与其最相近的5个其他代码元素</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3343275" cy="2507615"/>
            <wp:effectExtent l="0" t="0" r="952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3275" cy="2507615"/>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5638800" cy="44113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38800" cy="4411345"/>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4876165" cy="2747645"/>
            <wp:effectExtent l="0" t="0" r="635" b="1079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4876165" cy="2747645"/>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图7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是RNN（Recurrent Neural Network，循环神经网络）—种，</w:t>
      </w:r>
      <w:r>
        <w:rPr>
          <w:rFonts w:hint="default" w:ascii="Times New Roman" w:hAnsi="Times New Roman" w:eastAsia="宋体" w:cs="Times New Roman"/>
          <w:color w:val="000000" w:themeColor="text1"/>
          <w:kern w:val="0"/>
          <w:sz w:val="20"/>
          <w:szCs w:val="20"/>
          <w14:textFill>
            <w14:solidFill>
              <w14:schemeClr w14:val="tx1"/>
            </w14:solidFill>
          </w14:textFill>
        </w:rPr>
        <w:t>也称为门控循环神经网络（Gated Recurrent Unit）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PABMAGkAdABlAHIAYQBsAHMAPgANAAoAPABMAGkAdABlAHIAYQBsACAAaQBkAD0AIgBmADgAMgA3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AGUAcgB2AGUAIgA+ADAAMAAwADEALwAwADEALwAwADEAIAAwADAAOgAwADAAOgAwADAAPAAvAFAA
cgBpAG4AdABEAGEAdABlAD4ADQAKADwAUABsAGEAYwBlACAAeABtAGwAOgBzAHAAYQBjAGUAPQAi
AHAAcgBlAHMAZQByAHYAZQAiAC8APgANAAoAPABQAHIAZQBzAHMAIAB4AG0AbAA6AHMAcABhAGMA
ZQA9ACIAcAByAGUAcwBlAHIAdgBlACIALwA+AA0ACgA8AFkAZQBhAHIAIAB4AG0AbAA6AHMAcABh
AGMAZQA9ACIAcAByAGUAcwBlAHIAdgBlACIAPgAxADkAOQA3ADwALwBZAGUAYQByAD4ADQAKADwA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AGUAcwBlAHIAdgBlACIALwA+AA0ACgA8AEMAbwB1AG4AdAByAHkAIAB4AG0AbAA6AHMAcABhAGMA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bAAgAHgAbQBsADoAcwBwAGEAYwBlAD0AIgBwAHIAZQBzAGUAcgB2AGUAIgAvAD4ADQAKADwAQQB1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
ADEAMAAzADMAPAAvAEwAYQBuAGcAdQBhAGcAZQA+AA0ACgA8AE0AbwBkAGkAZgBpAGUAZABEAGEA
dABlACAAeABtAGwAOgBzAHAAYQBjAGUAPQAiAHAAcgBlAHMAZQByAHYAZQAiAD4AMAAwADAAMQAv
ADAAMQAvADAAMQAgADAAMAA6ADAAMAA6ADAAMAA8AC8ATQBvAGQAaQBmAGkAZQBkAEQAYQB0AGUA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ACIAcAByAGUAcwBlAHIAdgBlACIALwA+AA0ACgA8AEEAYwBjAGUAcwBzAGUAZABEAGEAdABlACAA
eABtAGwAOgBzAHAAYQBjAGUAPQAiAHAAcgBlAHMAZQByAHYAZQAiAC8APgANAAoAPABMAG8AYwBr
AGUAZAA+ADAAPAAvAEwAbwBjAGsAZQBkAD4ADQAKADwAQwBlAGwASQBEAD4AZABlAGYAOQBkADEA
OQAyAC0AYgA4AGMANAAtADQAZgBiADYALQBhAGMAMQBmAC0ANwBmAGEAYwAwADAAYwAzADEAMwA2
AGYAPAAvAEMAZQBsAEkARAA+AA0ACgA8AEwAaQB0AGUAcgBHAHUAaQBkAD4AZgA4ADIANwAxADIA
MQAzAC0ANAA4AGEAMgAtADQAYQAzAGEALQBhAGYAZAA0AC0AMgBjADUAYwAxADgAYgAzADkAYwAw
ADQAPAAvAEwAaQB0AGUAcgBHAHUAaQBkAD4ADQAKADwAUABhAHQAaAAgAHgAbQBsADoAcwBwAGEA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IgBwAHIAZQBzAGUAcgB2AGUAIgAvAD4ADQAKADwALwBMAGkAdABlAHIAYQBsAD4ADQAKADwALwBM
AGkAdABlAHIAYQBsAHMAPgANAAoA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CNKISM.Ref.{8064CBA63CB24739A054D091D204461C}</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相比于传统的RNN，GRU增加了一些权重门阀来决定输入的信息应该保留什么和应该删除什么，所以它也称为门控循环神经单元，一定程度上解决了传统RNN因信息的长期依赖问题导致梯度消失的问题。</w:t>
      </w:r>
      <w:r>
        <w:rPr>
          <w:rFonts w:hint="default" w:ascii="Times New Roman" w:hAnsi="Times New Roman" w:eastAsia="宋体" w:cs="Times New Roman"/>
          <w:color w:val="000000" w:themeColor="text1"/>
          <w:kern w:val="0"/>
          <w:sz w:val="20"/>
          <w:szCs w:val="20"/>
          <w14:textFill>
            <w14:solidFill>
              <w14:schemeClr w14:val="tx1"/>
            </w14:solidFill>
          </w14:textFill>
        </w:rPr>
        <w: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即双向门控循环神经网络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是BiRNN（Bidirection RNN）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PABMAGkAdABlAHIAYQBsAHMAPgANAAoAPABMAGkAdABlAHIAYQBsACAAaQBkAD0AIgAzAGUAYgBm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ACIAcAByAGUAcwBlAHIAdgBlACIALwA+AA0ACgA8AEEAdQB0AGgAbwByAEUAbgBnAGwAaQBzAGgA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ZAA+AA0ACgA8AEMAZQBsAEkARAA+AGQAZQBmADkAZAAxADkAMgAtAGIAOABjADQALQA0AGYAYgA2
AC0AYQBjADEAZgAtADcAZgBhAGMAMAAwAGMAMwAxADMANgBmADwALwBDAGUAbABJAEQAPgANAAoA
PABMAGkAdABlAHIARwB1AGkAZAA+ADMAZQBiAGYANwAzADgAYwAtADUAYwBiADAALQA0AGQAYQA0
AC0AYgAyADUAMgAtADEAMgBmADAANgAxADIANQA2ADYANwAzADwALwBMAGkAdABlAHIARwB1AGkA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UwBvAHUAcgBjAGUAIAB4AG0AbAA6AHMAcABhAGMAZQA9ACIAcAByAGUAcwBlAHIAdgBlACIAPgBJ
AEUARQBFADwALwBTAG8AdQByAGMAZQA+AA0ACgA8AC8ATABpAHQAZQByAGEAbAA+AA0ACgA8AC8A
TABpAHQAZQByAGEAbABzAD4ADQAKAA==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CNKISM.Ref.{9E583C5EEC414d8487F5BA950D2830E3}</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[13]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的一种</w:t>
      </w:r>
      <w:r>
        <w:rPr>
          <w:rFonts w:hint="default" w:ascii="Times New Roman" w:hAnsi="Times New Roman" w:eastAsia="宋体" w:cs="Times New Roman"/>
          <w:color w:val="000000" w:themeColor="text1"/>
          <w:kern w:val="0"/>
          <w:sz w:val="20"/>
          <w:szCs w:val="20"/>
          <w14:textFill>
            <w14:solidFill>
              <w14:schemeClr w14:val="tx1"/>
            </w14:solidFill>
          </w14:textFill>
        </w:rPr>
        <w:t>。由于Hantao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t>是使用全量代码元素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在测试集上的准确率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权重参数过多导致，</w:t>
      </w:r>
      <w:r>
        <w:rPr>
          <w:rFonts w:hint="default" w:ascii="Times New Roman" w:hAnsi="Times New Roman" w:eastAsia="宋体" w:cs="Times New Roman"/>
          <w:color w:val="000000" w:themeColor="text1"/>
          <w:kern w:val="0"/>
          <w:sz w:val="20"/>
          <w:szCs w:val="20"/>
          <w14:textFill>
            <w14:solidFill>
              <w14:schemeClr w14:val="tx1"/>
            </w14:solidFill>
          </w14:textFill>
        </w:rPr>
        <w:t>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表2也列出了两种模型最终的准确度数据。</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表2 TextCNN与BiGRU训练与测试具体准确率</w:t>
      </w:r>
    </w:p>
    <w:tbl>
      <w:tblPr>
        <w:tblStyle w:val="4"/>
        <w:tblpPr w:leftFromText="180" w:rightFromText="180" w:vertAnchor="text" w:horzAnchor="page" w:tblpX="866" w:tblpY="146"/>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68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8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68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广泛被采用的</w:t>
      </w:r>
      <w:r>
        <w:rPr>
          <w:rFonts w:hint="default" w:ascii="Times New Roman" w:hAnsi="Times New Roman" w:eastAsia="宋体" w:cs="Times New Roman"/>
          <w:color w:val="000000" w:themeColor="text1"/>
          <w:kern w:val="0"/>
          <w:sz w:val="20"/>
          <w:szCs w:val="20"/>
          <w14:textFill>
            <w14:solidFill>
              <w14:schemeClr w14:val="tx1"/>
            </w14:solidFill>
          </w14:textFill>
        </w:rPr>
        <w:t>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MCC值衡量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模型的</w:t>
      </w:r>
      <w:r>
        <w:rPr>
          <w:rFonts w:hint="default" w:ascii="Times New Roman" w:hAnsi="Times New Roman" w:eastAsia="宋体" w:cs="Times New Roman"/>
          <w:color w:val="000000" w:themeColor="text1"/>
          <w:kern w:val="0"/>
          <w:sz w:val="20"/>
          <w:szCs w:val="20"/>
          <w14:textFill>
            <w14:solidFill>
              <w14:schemeClr w14:val="tx1"/>
            </w14:solidFill>
          </w14:textFill>
        </w:rPr>
        <w:t>性能</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这些衡量标准定义如下：</w:t>
      </w:r>
    </w:p>
    <w:p>
      <w:pPr>
        <w:widowControl/>
        <w:numPr>
          <w:ilvl w:val="0"/>
          <w:numId w:val="1"/>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精确率（Precision Rate）表示模型预测为正例的样本中有多少实际为正例的：</w:t>
      </w:r>
    </w:p>
    <w:p>
      <w:pPr>
        <w:widowControl/>
        <w:numPr>
          <w:ilvl w:val="0"/>
          <w:numId w:val="0"/>
        </w:num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F1即为精确率和召回率的平均值，计算方式为：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表3 TextCNN与BiGRU各项性能指标对比</w:t>
      </w:r>
    </w:p>
    <w:tbl>
      <w:tblPr>
        <w:tblStyle w:val="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w:t>
            </w:r>
            <w:r>
              <w:rPr>
                <w:rFonts w:hint="eastAsia"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w:t>
            </w: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，分析原因为：（1）使用全局代码元素比仅使用AST某些节点进行漏洞模式识时更能捕获代码间的语义。（2）TextCNN模型参数比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  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模型最后输出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漏洞出现在某行代码，常常是跟其他行代码的数据和控制流相关联的。这时可考虑将相关代码行提取的特征进行合并，还可以考虑将词法分析、抽象语法树和n-gram模型提取特征进行多维度融合，以此来获取代码元素间更紧密的关系，进一步提升漏洞识别效果。</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（3）有预测结果可见，TextCNN模型参数过多，导致结构比较复杂，出现过拟合现象。可参照NLP中广泛使用的Transformer</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begin">
          <w:fldData xml:space="preserve">PABMAGkAdABlAHIAYQBsAHMAPgANAAoAPABMAGkAdABlAHIAYQBsACAAaQBkAD0AIgBkADYAMwBj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cwBwAGEAYwBlAD0AIgBwAHIAZQBzAGUAcgB2AGUAIgA+ADIAMAAxADcAPAAvAFkAZQBhAHIAPgAN
AAoAPABWAG8AbAB1AG0AZQAgAHgAbQBsADoAcwBwAGEAYwBlAD0AIgBwAHIAZQBzAGUAcgB2AGUA
IgAvAD4ADQAKADwASQBzAHMAdQBlACAAeABtAGwAOgBzAHAAYQBjAGUAPQAiAHAAcgBlAHMAZQBy
AHYAZQAiAC8APgANAAoAPABQAGEAZwBlAFMAYwBvAHAAZQAgAHgAbQBsADoAcwBwAGEAYwBlAD0A
IgBwAHIAZQBzAGUAcgB2AGUAIgAvAD4ADQAKADwAQwBvAHUAbgB0AHIAeQAgAHgAbQBsADoAcwBw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AFUAcgBsACAAeABtAGwAOgBzAHAAYQBjAGUAPQAiAHAAcgBlAHMAZQByAHYAZQAiAC8APgANAAoA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ACIAcAByAGUAcwBlAHIAdgBlACIALwA+AA0ACgA8AFMAYwBoAG8AbwBsACAAeABtAGwAOgBzAHAA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AEQAYQB0AGUAIAB4AG0AbAA6AHMAcABhAGMAZQA9ACIAcAByAGUAcwBlAHIAdgBlACIAPgAwADAA
MAAxAC8AMAAxAC8AMAAxACAAMAAwADoAMAAwADoAMAAwADwALwBNAG8AZABpAGYAaQBlAGQARABh
AHQAZQA+AA0ACgA8AE0AZQBkAGkAYQBFAG4AIAB4AG0AbAA6AHMAcABhAGMAZQA9ACIAcAByAGUA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bwBjAGsAZQBkAD4AMAA8AC8ATABvAGMAawBlAGQAPgANAAoAPABDAGUAbABJAEQAPgBkAGUAZgA5
AGQAMQA5ADIALQBiADgAYwA0AC0ANABmAGIANgAtAGEAYwAxAGYALQA3AGYAYQBjADAAMABjADMA
MQAzADYAZgA8AC8AQwBlAGwASQBEAD4ADQAKADwATABpAHQAZQByAEcAdQBpAGQAPgBkADYAMwBj
AGMAYQBiADkALQBlADQAZQA3AC0ANABlADUAMAAtADgAOAA3ADAALQA1ADQANgBhAGYAOAA5ADgA
ZQBkAGIAYgA8AC8ATABpAHQAZQByAEcAdQBpAGQAPgANAAoAPABQAGEAdABoACAAeABtAGwAOgBz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cAByAGUAcwBlAHIAdgBlACIALwA+AA0ACgA8AE8AcgBpAGcAaQBuAEEAdQB0AGgAbwByACAAeABt
AGwAOgBzAHAAYQBjAGUAPQAiAHAAcgBlAHMAZQByAHYAZQAiAC8APgANAAoAPABPAHIAaQBnAGkA
bgBUAGkAdABsAGUAIAB4AG0AbAA6AHMAcABhAGMAZQA9ACIAcAByAGUAcwBlAHIAdgBlACIALwA+
AA0ACgA8AFIAZQBmAFAAYQBnAGUATgB1AG0AYgBlAHIAIAB4AG0AbAA6AHMAcABhAGMAZQA9ACIA
cAByAGUAcwBlAHIAdgBlACIALwA+AA0ACgA8AFMAbwB1AHIAYwBlACAAeABtAGwAOgBzAHAAYQBj
AGUAPQAiAHAAcgBlAHMAZQByAHYAZQAiAC8APgANAAoAPAAvAEwAaQB0AGUAcgBhAGwAPgANAAoA
PAAvAEwAaQB0AGUAcgBhAGwAcwA+AA0ACgA=
</w:fldData>
        </w:fldChar>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instrText xml:space="preserve">ADDIN CNKISM.Ref.{974EB459C63F4ce8847504697F455C4A}</w:instrTex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bidi="ar"/>
          <w14:textFill>
            <w14:solidFill>
              <w14:schemeClr w14:val="tx1"/>
            </w14:solidFill>
          </w14:textFill>
        </w:rPr>
        <w:t>[14]</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end"/>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模型结构，增加注意力机制，一方面可以在第（2）点的基础上挖掘更深层的代码元素间语义依赖关系，另一方面也可以使得模型更加健壮。</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4</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）本文只分析了关于C语言代码的漏洞识别，难以反映真实软件工程中漏洞检测技术的通用性。针对其他代码语言漏洞识别方法相关的数据集建设、泛化能力提升，还有待深入研究。</w:t>
      </w:r>
      <w:bookmarkStart w:id="18" w:name="_GoBack"/>
      <w:bookmarkEnd w:id="18"/>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eastAsia" w:ascii="宋体" w:hAnsi="宋体" w:eastAsia="宋体" w:cs="宋体"/>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begin"/>
      </w:r>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separate"/>
      </w:r>
      <w:r>
        <w:rPr>
          <w:rFonts w:hint="eastAsia" w:ascii="宋体" w:hAnsi="宋体" w:eastAsia="宋体" w:cs="宋体"/>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4" w:name="_CNKI824E87CF40D875C2A4881D7DE5324F1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5" w:name="_CNKI4C4CC56948AB6F727E0B196684971C7B"/>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6" w:name="_CNKI759FAE33D035AAAD9FE22CEE11647BD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7" w:name="_CNKIE55616A7CA2268565BC299278C0B9FF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8" w:name="_CNKIC7AD82AB2A382166DD3E761709A44BC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9" w:name="_CNKIBF33C605E4BDF3AD9B08D85FE61DB22C"/>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0" w:name="_CNKI0A451ED2A7218ED8E1B9E1C32CF6496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1" w:name="_CNKIE211632602110741E96C28B0BB69EB90"/>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2" w:name="_CNKIA2560ACA0841D4AEAA85A934925A8F82"/>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[9] Tomas Mikolov,Kai Chen,Greg Corrado, et al. Efficient Estimation of Word Representations in Vector Space[Z], 2013.</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3" w:name="_CNKI7373F13722D9D838E4327AC5084CF2ED"/>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[10] Nitish Srivastava,Geoffrey Hinton,Alex Krizhevsky, et al. Dropout: A Simple Way to Prevent Neural Networks from Overfitting[Z], 2014.</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4" w:name="_CNKI2772E768CF13D4A2F4A1B734469A785F"/>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[11] Diederik P. Kingma,Jimmy Lei Ba. ADAM: A METHOD FOR STOCHASTIC OPTIMIZATION[Z], 2017.</w:t>
      </w:r>
      <w:bookmarkEnd w:id="1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5" w:name="_CNKIC7F29CB247C907EA397F96C71C2DD82E"/>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[12] Sepp Hochreiter,Jurgen Schmidhuber. LONG SHORT-TERM MEMORY[Z], 1997.</w:t>
      </w:r>
      <w:bookmarkEnd w:id="1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6" w:name="_CNKI4F2C44674A3CC9085B91452B5265E30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[13] M. Schuster,K.K. Paliwal. Bidirectional recurrent neural networks[Z], 1997.</w:t>
      </w:r>
      <w:bookmarkEnd w:id="1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7" w:name="_CNKIDBD434F355A6612566EDCDF1EDC73203"/>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[14] Ashish Vaswani,Noam Shazeer,Niki Parmar, et al. Attention Is All You Need[Z], 2017.</w:t>
      </w:r>
      <w:bookmarkEnd w:id="17"/>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end"/>
      </w:r>
    </w:p>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C2712"/>
    <w:multiLevelType w:val="singleLevel"/>
    <w:tmpl w:val="94FC27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44757A8"/>
    <w:rsid w:val="0B494B95"/>
    <w:rsid w:val="0EB940E1"/>
    <w:rsid w:val="11B20340"/>
    <w:rsid w:val="13E842F0"/>
    <w:rsid w:val="15762ED0"/>
    <w:rsid w:val="1FBB64A7"/>
    <w:rsid w:val="2267612C"/>
    <w:rsid w:val="24285E14"/>
    <w:rsid w:val="27400656"/>
    <w:rsid w:val="319121DA"/>
    <w:rsid w:val="31E22A5B"/>
    <w:rsid w:val="361245B7"/>
    <w:rsid w:val="36E55845"/>
    <w:rsid w:val="37C356AA"/>
    <w:rsid w:val="37EA7444"/>
    <w:rsid w:val="3F1B68B9"/>
    <w:rsid w:val="3FDE69AB"/>
    <w:rsid w:val="40A3744E"/>
    <w:rsid w:val="40E85247"/>
    <w:rsid w:val="412E7E69"/>
    <w:rsid w:val="43D754E8"/>
    <w:rsid w:val="43E02B4D"/>
    <w:rsid w:val="4464552C"/>
    <w:rsid w:val="449C737C"/>
    <w:rsid w:val="45F60071"/>
    <w:rsid w:val="4D106FCC"/>
    <w:rsid w:val="4E485577"/>
    <w:rsid w:val="52D37390"/>
    <w:rsid w:val="55E25D9D"/>
    <w:rsid w:val="57E22945"/>
    <w:rsid w:val="5F7D3215"/>
    <w:rsid w:val="62FD587D"/>
    <w:rsid w:val="636C365E"/>
    <w:rsid w:val="649F2809"/>
    <w:rsid w:val="65A262A9"/>
    <w:rsid w:val="665E1984"/>
    <w:rsid w:val="67F92022"/>
    <w:rsid w:val="68E5092D"/>
    <w:rsid w:val="6A284296"/>
    <w:rsid w:val="6BEB351B"/>
    <w:rsid w:val="70413CC9"/>
    <w:rsid w:val="709D515C"/>
    <w:rsid w:val="72A11576"/>
    <w:rsid w:val="739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0</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2021-12-25T08:50:22Z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