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00" w:lineRule="exact"/>
        <w:jc w:val="center"/>
        <w:rPr>
          <w:rFonts w:ascii="仿宋_GB2312" w:hAnsi="宋体" w:eastAsia="仿宋_GB2312"/>
          <w:b/>
          <w:color w:val="000000"/>
          <w:sz w:val="36"/>
          <w:szCs w:val="36"/>
        </w:rPr>
      </w:pPr>
      <w:r>
        <w:rPr>
          <w:rFonts w:hint="eastAsia" w:ascii="仿宋_GB2312" w:hAnsi="宋体" w:eastAsia="仿宋_GB2312"/>
          <w:b/>
          <w:color w:val="000000"/>
          <w:sz w:val="36"/>
          <w:szCs w:val="36"/>
        </w:rPr>
        <w:t>中山大学计算机学院</w:t>
      </w:r>
    </w:p>
    <w:p>
      <w:pPr>
        <w:adjustRightInd w:val="0"/>
        <w:snapToGrid w:val="0"/>
        <w:spacing w:line="500" w:lineRule="exact"/>
        <w:jc w:val="center"/>
        <w:rPr>
          <w:rFonts w:ascii="仿宋_GB2312" w:hAnsi="宋体" w:eastAsia="仿宋_GB2312"/>
          <w:b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软件工程（一级学科、工学）（</w:t>
      </w:r>
      <w:r>
        <w:rPr>
          <w:rFonts w:ascii="仿宋_GB2312" w:hAnsi="宋体" w:eastAsia="仿宋_GB2312"/>
          <w:b/>
          <w:color w:val="000000"/>
          <w:sz w:val="32"/>
          <w:szCs w:val="32"/>
        </w:rPr>
        <w:t>083500</w:t>
      </w: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）</w:t>
      </w:r>
      <w:r>
        <w:rPr>
          <w:rFonts w:hint="eastAsia" w:ascii="仿宋_GB2312" w:eastAsia="仿宋_GB2312"/>
          <w:b/>
          <w:color w:val="000000"/>
          <w:spacing w:val="-8"/>
          <w:sz w:val="32"/>
          <w:szCs w:val="32"/>
        </w:rPr>
        <w:t>硕士生</w:t>
      </w:r>
      <w:r>
        <w:rPr>
          <w:rFonts w:hint="eastAsia" w:ascii="仿宋_GB2312" w:hAnsi="宋体" w:eastAsia="仿宋_GB2312"/>
          <w:b/>
          <w:color w:val="000000"/>
          <w:sz w:val="32"/>
          <w:szCs w:val="32"/>
        </w:rPr>
        <w:t>研究生培养方案</w:t>
      </w:r>
    </w:p>
    <w:p>
      <w:pPr>
        <w:adjustRightInd w:val="0"/>
        <w:snapToGrid w:val="0"/>
        <w:spacing w:line="500" w:lineRule="exact"/>
        <w:jc w:val="center"/>
        <w:rPr>
          <w:rFonts w:ascii="仿宋_GB2312" w:hAnsi="宋体" w:eastAsia="仿宋_GB2312"/>
          <w:color w:val="000000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sz w:val="32"/>
          <w:szCs w:val="32"/>
        </w:rPr>
        <w:t>（从</w:t>
      </w:r>
      <w:r>
        <w:rPr>
          <w:rFonts w:ascii="仿宋_GB2312" w:hAnsi="宋体" w:eastAsia="仿宋_GB2312"/>
          <w:color w:val="000000"/>
          <w:sz w:val="32"/>
          <w:szCs w:val="32"/>
        </w:rPr>
        <w:t>2021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年级开始执行）</w:t>
      </w:r>
    </w:p>
    <w:p>
      <w:pPr>
        <w:spacing w:line="500" w:lineRule="exact"/>
        <w:ind w:firstLine="643" w:firstLineChars="200"/>
        <w:rPr>
          <w:rFonts w:ascii="仿宋_GB2312" w:hAnsi="宋体" w:eastAsia="仿宋_GB2312"/>
          <w:b/>
          <w:sz w:val="32"/>
          <w:szCs w:val="32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一、学科介绍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软件工程学科是计算机科学与技术、数学、工程学、管理学等相关学科的交叉性学科，代表了信息产业和现代服务业等未来社会产业的发展方向。软件工程学科研究如何用工程化方法构建和维护有效的、实用的和高质量的软件系统，研究领域涉及软件工程理论与方法、软件工程技术、软件服务工程、领域软件工程等。我院按照“理工结合、学科交叉”的人才培养模式，以广州超算中心“天河二号”超级计算机平台为依托，所培养的研究生既要有良好数学建模、算法设计与数据分析处理的基础，更要有工程化设计与开发软件系统的能力与实践。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二、培养目标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具备坚实宽广的软件工程理论基础和系统深入的专门知识，熟练地掌握一门外国语；对于与自己研究相关的重要理论、方法与技术有透彻了解和把握，有学术研究的感悟力，理解学术研究的真谛；善于发现学科的前沿性问题，并对之进行深入的原创性研究，不断开拓新的领域；具有严谨求实的科学态度和作风，能独立从事基础研究、应用基础研究和关键技术创新等软件工程高水平研究；可在高等院校和研究单位从事教学和研究工作，也可在相关部门从事专业性研究和管理工作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三、学制与学习年限</w:t>
      </w:r>
    </w:p>
    <w:p>
      <w:pPr>
        <w:spacing w:line="500" w:lineRule="exact"/>
        <w:ind w:firstLine="562" w:firstLineChars="200"/>
        <w:rPr>
          <w:rFonts w:ascii="Calibri" w:hAnsi="Calibri" w:eastAsia="仿宋_GB2312"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硕博连读生</w:t>
      </w:r>
      <w:r>
        <w:rPr>
          <w:rFonts w:hint="eastAsia" w:ascii="仿宋_GB2312" w:hAnsi="宋体" w:eastAsia="仿宋_GB2312"/>
          <w:sz w:val="28"/>
          <w:szCs w:val="28"/>
        </w:rPr>
        <w:t>：由硕士研究生直接转读博士研究生，学制五年，其中硕士阶段两年，博士阶段三年</w:t>
      </w:r>
      <w:r>
        <w:rPr>
          <w:rFonts w:hint="eastAsia" w:ascii="Calibri" w:hAnsi="Calibri" w:eastAsia="仿宋_GB2312"/>
          <w:sz w:val="28"/>
          <w:szCs w:val="28"/>
        </w:rPr>
        <w:t>。</w:t>
      </w:r>
    </w:p>
    <w:p>
      <w:pPr>
        <w:spacing w:line="500" w:lineRule="exact"/>
        <w:ind w:firstLine="562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直博生：</w:t>
      </w:r>
      <w:r>
        <w:rPr>
          <w:rFonts w:hint="eastAsia" w:ascii="仿宋_GB2312" w:hAnsi="宋体" w:eastAsia="仿宋_GB2312"/>
          <w:sz w:val="28"/>
          <w:szCs w:val="28"/>
        </w:rPr>
        <w:t>学制五年。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因特殊情况不能按时完成学业者，由导师提出，经所在学院、直属系同意，研究生院批准，可适当延长学习年限，每次申请延长不超过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年，从博士研究入学时间算起最长学习年限不超过</w:t>
      </w:r>
      <w:r>
        <w:rPr>
          <w:rFonts w:ascii="仿宋_GB2312" w:hAnsi="宋体" w:eastAsia="仿宋_GB2312"/>
          <w:sz w:val="28"/>
          <w:szCs w:val="28"/>
        </w:rPr>
        <w:t>7</w:t>
      </w:r>
      <w:r>
        <w:rPr>
          <w:rFonts w:hint="eastAsia" w:ascii="仿宋_GB2312" w:hAnsi="宋体" w:eastAsia="仿宋_GB2312"/>
          <w:sz w:val="28"/>
          <w:szCs w:val="28"/>
        </w:rPr>
        <w:t>年。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四、研究方向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本方案适用于以下二级学科（方向）：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 xml:space="preserve">1. </w:t>
      </w:r>
      <w:r>
        <w:rPr>
          <w:rFonts w:hint="eastAsia" w:ascii="仿宋_GB2312" w:hAnsi="宋体" w:eastAsia="仿宋_GB2312"/>
          <w:sz w:val="28"/>
          <w:szCs w:val="28"/>
        </w:rPr>
        <w:t>软件工程理论与方法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软件建模与分析、软件智能化、软件开发技术、软件项目管理、软件测试、软件质量与安全等。</w:t>
      </w:r>
      <w:r>
        <w:rPr>
          <w:rFonts w:ascii="仿宋_GB2312" w:hAnsi="宋体" w:eastAsia="仿宋_GB2312"/>
          <w:sz w:val="28"/>
          <w:szCs w:val="28"/>
        </w:rPr>
        <w:t xml:space="preserve">   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．软件服务技术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服务计算架构、服务组合与发现、服务个性化、服务质量保证、</w:t>
      </w:r>
      <w:r>
        <w:rPr>
          <w:rFonts w:ascii="仿宋_GB2312" w:hAnsi="宋体" w:eastAsia="仿宋_GB2312"/>
          <w:sz w:val="28"/>
          <w:szCs w:val="28"/>
        </w:rPr>
        <w:t>Web</w:t>
      </w:r>
      <w:r>
        <w:rPr>
          <w:rFonts w:hint="eastAsia" w:ascii="仿宋_GB2312" w:hAnsi="宋体" w:eastAsia="仿宋_GB2312"/>
          <w:sz w:val="28"/>
          <w:szCs w:val="28"/>
        </w:rPr>
        <w:t>技术、业务流程管理、中间件技术等。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．领域软件工程</w:t>
      </w:r>
    </w:p>
    <w:p>
      <w:pPr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领域软件体系架构、领域操作系统、实时系统设计、嵌入式系统设计、数字家庭技术等。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五、培养方式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、采用全日制培养方式，实行“课程学习</w:t>
      </w:r>
      <w:r>
        <w:rPr>
          <w:rFonts w:ascii="仿宋_GB2312" w:hAnsi="宋体" w:eastAsia="仿宋_GB2312"/>
          <w:sz w:val="28"/>
          <w:szCs w:val="28"/>
        </w:rPr>
        <w:t>+</w:t>
      </w:r>
      <w:r>
        <w:rPr>
          <w:rFonts w:hint="eastAsia" w:ascii="仿宋_GB2312" w:hAnsi="宋体" w:eastAsia="仿宋_GB2312"/>
          <w:sz w:val="28"/>
          <w:szCs w:val="28"/>
        </w:rPr>
        <w:t>学位论文”两阶段培养。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、实行以科研为主导的导师或导师组负责制。导师应有适于培养硕士生的研究课题和充足的研究经费。导师应与硕士生定期交流，关心硕士生的思想品德、学术进展和综合素质。促进硕士生德、智、体全面发展。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、导师或导师组负责研究生培养计划制定、学位论文选题、中期、论文撰写和学位申请等方面的指导工作。导师或导师组全面负责研究生的培养质量，建立规范化的学术交流和学术报告制度，按期检查培养环节的完成情况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4</w:t>
      </w:r>
      <w:r>
        <w:rPr>
          <w:rFonts w:hint="eastAsia" w:ascii="仿宋_GB2312" w:hAnsi="宋体" w:eastAsia="仿宋_GB2312"/>
          <w:sz w:val="28"/>
          <w:szCs w:val="28"/>
        </w:rPr>
        <w:t>、采用学分制，学生必须通过由学校组织的规定课程的考试，考试课程（科目）成绩达</w:t>
      </w:r>
      <w:r>
        <w:rPr>
          <w:rFonts w:ascii="仿宋_GB2312" w:hAnsi="宋体" w:eastAsia="仿宋_GB2312"/>
          <w:sz w:val="28"/>
          <w:szCs w:val="28"/>
        </w:rPr>
        <w:t>60</w:t>
      </w:r>
      <w:r>
        <w:rPr>
          <w:rFonts w:hint="eastAsia" w:ascii="仿宋_GB2312" w:hAnsi="宋体" w:eastAsia="仿宋_GB2312"/>
          <w:sz w:val="28"/>
          <w:szCs w:val="28"/>
        </w:rPr>
        <w:t>分以上（含</w:t>
      </w:r>
      <w:r>
        <w:rPr>
          <w:rFonts w:ascii="仿宋_GB2312" w:hAnsi="宋体" w:eastAsia="仿宋_GB2312"/>
          <w:sz w:val="28"/>
          <w:szCs w:val="28"/>
        </w:rPr>
        <w:t>60</w:t>
      </w:r>
      <w:r>
        <w:rPr>
          <w:rFonts w:hint="eastAsia" w:ascii="仿宋_GB2312" w:hAnsi="宋体" w:eastAsia="仿宋_GB2312"/>
          <w:sz w:val="28"/>
          <w:szCs w:val="28"/>
        </w:rPr>
        <w:t>分）、考查课程（科目）合格，可获得培养方案规定的学分。课程成绩由任课教师根据具体教学情况综合评定；其中可包括：课程设计项目、课堂讨论发言、案例分析报告、专题调研报告、文献阅读报告以及期中</w:t>
      </w:r>
      <w:r>
        <w:rPr>
          <w:rFonts w:ascii="仿宋_GB2312" w:hAnsi="宋体" w:eastAsia="仿宋_GB2312"/>
          <w:sz w:val="28"/>
          <w:szCs w:val="28"/>
        </w:rPr>
        <w:t>/</w:t>
      </w:r>
      <w:r>
        <w:rPr>
          <w:rFonts w:hint="eastAsia" w:ascii="仿宋_GB2312" w:hAnsi="宋体" w:eastAsia="仿宋_GB2312"/>
          <w:sz w:val="28"/>
          <w:szCs w:val="28"/>
        </w:rPr>
        <w:t>期末考试等因素综合评定。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5</w:t>
      </w:r>
      <w:r>
        <w:rPr>
          <w:rFonts w:hint="eastAsia" w:ascii="仿宋_GB2312" w:hAnsi="宋体" w:eastAsia="仿宋_GB2312"/>
          <w:sz w:val="28"/>
          <w:szCs w:val="28"/>
        </w:rPr>
        <w:t>、硕士和博士研究生课程考试成绩未达到合格要求者，根据课程情况可申请补考或重修，具体考核细则按《中山大学硕士研究生学业考核管理规定》执行。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）必修课程（科目）考试不合格者须补考或重修。凡累计</w:t>
      </w: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门次及以上必修课程（科目）考试不合格者（含补考和重修后不合格的）不得补考或重修，按《中山大学研究生学籍管理规定》关于退学的相关规定进行处理。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）研究生选修课程不合格，除经导师同意改选其他选修课程外，一般应补考或重修。经导师同意，改选其他选修课程的，原不合格选修课程成绩按实际分数登记。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）补考：每门课程只允许补考一次。补考成绩达到</w:t>
      </w:r>
      <w:r>
        <w:rPr>
          <w:rFonts w:ascii="仿宋_GB2312" w:hAnsi="宋体" w:eastAsia="仿宋_GB2312"/>
          <w:sz w:val="28"/>
          <w:szCs w:val="28"/>
        </w:rPr>
        <w:t>60</w:t>
      </w:r>
      <w:r>
        <w:rPr>
          <w:rFonts w:hint="eastAsia" w:ascii="仿宋_GB2312" w:hAnsi="宋体" w:eastAsia="仿宋_GB2312"/>
          <w:sz w:val="28"/>
          <w:szCs w:val="28"/>
        </w:rPr>
        <w:t>分以上（含</w:t>
      </w:r>
      <w:r>
        <w:rPr>
          <w:rFonts w:ascii="仿宋_GB2312" w:hAnsi="宋体" w:eastAsia="仿宋_GB2312"/>
          <w:sz w:val="28"/>
          <w:szCs w:val="28"/>
        </w:rPr>
        <w:t>60</w:t>
      </w:r>
      <w:r>
        <w:rPr>
          <w:rFonts w:hint="eastAsia" w:ascii="仿宋_GB2312" w:hAnsi="宋体" w:eastAsia="仿宋_GB2312"/>
          <w:sz w:val="28"/>
          <w:szCs w:val="28"/>
        </w:rPr>
        <w:t>分），按</w:t>
      </w:r>
      <w:r>
        <w:rPr>
          <w:rFonts w:ascii="仿宋_GB2312" w:hAnsi="宋体" w:eastAsia="仿宋_GB2312"/>
          <w:sz w:val="28"/>
          <w:szCs w:val="28"/>
        </w:rPr>
        <w:t>60</w:t>
      </w:r>
      <w:r>
        <w:rPr>
          <w:rFonts w:hint="eastAsia" w:ascii="仿宋_GB2312" w:hAnsi="宋体" w:eastAsia="仿宋_GB2312"/>
          <w:sz w:val="28"/>
          <w:szCs w:val="28"/>
        </w:rPr>
        <w:t>分登记；低于</w:t>
      </w:r>
      <w:r>
        <w:rPr>
          <w:rFonts w:ascii="仿宋_GB2312" w:hAnsi="宋体" w:eastAsia="仿宋_GB2312"/>
          <w:sz w:val="28"/>
          <w:szCs w:val="28"/>
        </w:rPr>
        <w:t>60</w:t>
      </w:r>
      <w:r>
        <w:rPr>
          <w:rFonts w:hint="eastAsia" w:ascii="仿宋_GB2312" w:hAnsi="宋体" w:eastAsia="仿宋_GB2312"/>
          <w:sz w:val="28"/>
          <w:szCs w:val="28"/>
        </w:rPr>
        <w:t>分的，按实际成绩登记。补考成绩的登记须注明“补考”。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4</w:t>
      </w:r>
      <w:r>
        <w:rPr>
          <w:rFonts w:hint="eastAsia" w:ascii="仿宋_GB2312" w:hAnsi="宋体" w:eastAsia="仿宋_GB2312"/>
          <w:sz w:val="28"/>
          <w:szCs w:val="28"/>
        </w:rPr>
        <w:t>）重修：每门课程只允许重修一次。课程重修按实际考核成绩登记，注明“重修”。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6</w:t>
      </w:r>
      <w:r>
        <w:rPr>
          <w:rFonts w:hint="eastAsia" w:ascii="仿宋_GB2312" w:hAnsi="宋体" w:eastAsia="仿宋_GB2312"/>
          <w:sz w:val="28"/>
          <w:szCs w:val="28"/>
        </w:rPr>
        <w:t>、符合研究生院免修规定的研究生可免修英语。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" w:hAnsi="仿宋" w:eastAsia="仿宋" w:cs="仿宋"/>
          <w:color w:val="000000"/>
          <w:kern w:val="0"/>
          <w:sz w:val="28"/>
          <w:szCs w:val="28"/>
        </w:rPr>
      </w:pP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六、课程设置与学分要求</w:t>
      </w:r>
    </w:p>
    <w:p>
      <w:pPr>
        <w:spacing w:line="500" w:lineRule="exact"/>
        <w:jc w:val="left"/>
        <w:rPr>
          <w:rFonts w:ascii="仿宋_GB2312" w:hAnsi="华文仿宋" w:eastAsia="仿宋_GB2312"/>
          <w:sz w:val="28"/>
          <w:szCs w:val="28"/>
        </w:rPr>
      </w:pPr>
      <w:bookmarkStart w:id="0" w:name="_Hlk72143580"/>
      <w:r>
        <w:rPr>
          <w:rFonts w:hint="eastAsia" w:ascii="仿宋_GB2312" w:hAnsi="华文仿宋" w:eastAsia="仿宋_GB2312"/>
          <w:sz w:val="28"/>
          <w:szCs w:val="28"/>
        </w:rPr>
        <w:t>本专业的课程设置见表一。学院开出的选修课，其它专业的学生都可以选修。</w:t>
      </w:r>
    </w:p>
    <w:p>
      <w:pPr>
        <w:spacing w:line="500" w:lineRule="exact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ascii="仿宋_GB2312" w:hAnsi="华文仿宋" w:eastAsia="仿宋_GB2312"/>
          <w:sz w:val="28"/>
          <w:szCs w:val="28"/>
        </w:rPr>
        <w:t>1</w:t>
      </w:r>
      <w:r>
        <w:rPr>
          <w:rFonts w:hint="eastAsia" w:ascii="仿宋_GB2312" w:hAnsi="华文仿宋" w:eastAsia="仿宋_GB2312"/>
          <w:sz w:val="28"/>
          <w:szCs w:val="28"/>
        </w:rPr>
        <w:t>、课程设置</w:t>
      </w:r>
    </w:p>
    <w:p>
      <w:pPr>
        <w:spacing w:line="500" w:lineRule="exact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课程设置包括：必修课（包括公共必修课、博士必修课、硕士必修课，如下表</w:t>
      </w:r>
      <w:r>
        <w:rPr>
          <w:rFonts w:ascii="仿宋_GB2312" w:hAnsi="华文仿宋" w:eastAsia="仿宋_GB2312"/>
          <w:sz w:val="28"/>
          <w:szCs w:val="28"/>
        </w:rPr>
        <w:t>1</w:t>
      </w:r>
      <w:r>
        <w:rPr>
          <w:rFonts w:hint="eastAsia" w:ascii="仿宋_GB2312" w:hAnsi="华文仿宋" w:eastAsia="仿宋_GB2312"/>
          <w:sz w:val="28"/>
          <w:szCs w:val="28"/>
        </w:rPr>
        <w:t>），选修课（如附录</w:t>
      </w:r>
      <w:r>
        <w:rPr>
          <w:rFonts w:ascii="仿宋_GB2312" w:hAnsi="华文仿宋" w:eastAsia="仿宋_GB2312"/>
          <w:sz w:val="28"/>
          <w:szCs w:val="28"/>
        </w:rPr>
        <w:t>1</w:t>
      </w:r>
      <w:r>
        <w:rPr>
          <w:rFonts w:hint="eastAsia" w:ascii="仿宋_GB2312" w:hAnsi="华文仿宋" w:eastAsia="仿宋_GB2312"/>
          <w:sz w:val="28"/>
          <w:szCs w:val="28"/>
        </w:rPr>
        <w:t>）。</w:t>
      </w:r>
    </w:p>
    <w:p>
      <w:pPr>
        <w:spacing w:line="500" w:lineRule="exact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ascii="仿宋_GB2312" w:hAnsi="华文仿宋" w:eastAsia="仿宋_GB2312"/>
          <w:sz w:val="28"/>
          <w:szCs w:val="28"/>
        </w:rPr>
        <w:t>2</w:t>
      </w:r>
      <w:r>
        <w:rPr>
          <w:rFonts w:hint="eastAsia" w:ascii="仿宋_GB2312" w:hAnsi="华文仿宋" w:eastAsia="仿宋_GB2312"/>
          <w:sz w:val="28"/>
          <w:szCs w:val="28"/>
        </w:rPr>
        <w:t>、学分要求</w:t>
      </w:r>
    </w:p>
    <w:p>
      <w:pPr>
        <w:spacing w:line="500" w:lineRule="exact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（</w:t>
      </w:r>
      <w:r>
        <w:rPr>
          <w:rFonts w:ascii="仿宋_GB2312" w:hAnsi="华文仿宋" w:eastAsia="仿宋_GB2312"/>
          <w:sz w:val="28"/>
          <w:szCs w:val="28"/>
        </w:rPr>
        <w:t>1</w:t>
      </w:r>
      <w:r>
        <w:rPr>
          <w:rFonts w:hint="eastAsia" w:ascii="仿宋_GB2312" w:hAnsi="华文仿宋" w:eastAsia="仿宋_GB2312"/>
          <w:sz w:val="28"/>
          <w:szCs w:val="28"/>
        </w:rPr>
        <w:t>）本专业必须修满</w:t>
      </w:r>
      <w:r>
        <w:rPr>
          <w:rFonts w:ascii="仿宋_GB2312" w:hAnsi="华文仿宋" w:eastAsia="仿宋_GB2312"/>
          <w:sz w:val="28"/>
          <w:szCs w:val="28"/>
        </w:rPr>
        <w:t>40</w:t>
      </w:r>
      <w:r>
        <w:rPr>
          <w:rFonts w:hint="eastAsia" w:ascii="仿宋_GB2312" w:hAnsi="华文仿宋" w:eastAsia="仿宋_GB2312"/>
          <w:sz w:val="28"/>
          <w:szCs w:val="28"/>
        </w:rPr>
        <w:t>学分；其中必修课至少</w:t>
      </w:r>
      <w:r>
        <w:rPr>
          <w:rFonts w:ascii="仿宋_GB2312" w:hAnsi="华文仿宋" w:eastAsia="仿宋_GB2312"/>
          <w:sz w:val="28"/>
          <w:szCs w:val="28"/>
        </w:rPr>
        <w:t>35</w:t>
      </w:r>
      <w:r>
        <w:rPr>
          <w:rFonts w:hint="eastAsia" w:ascii="仿宋_GB2312" w:hAnsi="华文仿宋" w:eastAsia="仿宋_GB2312"/>
          <w:sz w:val="28"/>
          <w:szCs w:val="28"/>
        </w:rPr>
        <w:t>学分，包括公共必修课</w:t>
      </w:r>
      <w:r>
        <w:rPr>
          <w:rFonts w:ascii="仿宋_GB2312" w:hAnsi="华文仿宋" w:eastAsia="仿宋_GB2312"/>
          <w:sz w:val="28"/>
          <w:szCs w:val="28"/>
        </w:rPr>
        <w:t>8</w:t>
      </w:r>
      <w:r>
        <w:rPr>
          <w:rFonts w:hint="eastAsia" w:ascii="仿宋_GB2312" w:hAnsi="华文仿宋" w:eastAsia="仿宋_GB2312"/>
          <w:sz w:val="28"/>
          <w:szCs w:val="28"/>
        </w:rPr>
        <w:t>学分、硕士阶段专业必修课</w:t>
      </w:r>
      <w:r>
        <w:rPr>
          <w:rFonts w:ascii="仿宋_GB2312" w:hAnsi="华文仿宋" w:eastAsia="仿宋_GB2312"/>
          <w:sz w:val="28"/>
          <w:szCs w:val="28"/>
        </w:rPr>
        <w:t>17</w:t>
      </w:r>
      <w:r>
        <w:rPr>
          <w:rFonts w:hint="eastAsia" w:ascii="仿宋_GB2312" w:hAnsi="华文仿宋" w:eastAsia="仿宋_GB2312"/>
          <w:sz w:val="28"/>
          <w:szCs w:val="28"/>
        </w:rPr>
        <w:t>学分、博士阶段必修课</w:t>
      </w:r>
      <w:r>
        <w:rPr>
          <w:rFonts w:ascii="仿宋_GB2312" w:hAnsi="华文仿宋" w:eastAsia="仿宋_GB2312"/>
          <w:sz w:val="28"/>
          <w:szCs w:val="28"/>
        </w:rPr>
        <w:t>10</w:t>
      </w:r>
      <w:r>
        <w:rPr>
          <w:rFonts w:hint="eastAsia" w:ascii="仿宋_GB2312" w:hAnsi="华文仿宋" w:eastAsia="仿宋_GB2312"/>
          <w:sz w:val="28"/>
          <w:szCs w:val="28"/>
        </w:rPr>
        <w:t>学分。</w:t>
      </w:r>
    </w:p>
    <w:p>
      <w:pPr>
        <w:spacing w:line="500" w:lineRule="exact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（</w:t>
      </w:r>
      <w:r>
        <w:rPr>
          <w:rFonts w:ascii="仿宋_GB2312" w:hAnsi="华文仿宋" w:eastAsia="仿宋_GB2312"/>
          <w:sz w:val="28"/>
          <w:szCs w:val="28"/>
        </w:rPr>
        <w:t>2</w:t>
      </w:r>
      <w:r>
        <w:rPr>
          <w:rFonts w:hint="eastAsia" w:ascii="仿宋_GB2312" w:hAnsi="华文仿宋" w:eastAsia="仿宋_GB2312"/>
          <w:sz w:val="28"/>
          <w:szCs w:val="28"/>
        </w:rPr>
        <w:t>）选修课：要求本专业博士生参与教学实践；其它见课程清单（附件</w:t>
      </w:r>
      <w:r>
        <w:rPr>
          <w:rFonts w:ascii="仿宋_GB2312" w:hAnsi="华文仿宋" w:eastAsia="仿宋_GB2312"/>
          <w:sz w:val="28"/>
          <w:szCs w:val="28"/>
        </w:rPr>
        <w:t>1</w:t>
      </w:r>
      <w:r>
        <w:rPr>
          <w:rFonts w:hint="eastAsia" w:ascii="仿宋_GB2312" w:hAnsi="华文仿宋" w:eastAsia="仿宋_GB2312"/>
          <w:sz w:val="28"/>
          <w:szCs w:val="28"/>
        </w:rPr>
        <w:t>），由导师指定。学院开设的选修课，任何专业的学生都可以选修。</w:t>
      </w:r>
    </w:p>
    <w:p>
      <w:pPr>
        <w:spacing w:line="500" w:lineRule="exact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（</w:t>
      </w:r>
      <w:r>
        <w:rPr>
          <w:rFonts w:ascii="仿宋_GB2312" w:hAnsi="华文仿宋" w:eastAsia="仿宋_GB2312"/>
          <w:sz w:val="28"/>
          <w:szCs w:val="28"/>
        </w:rPr>
        <w:t>3</w:t>
      </w:r>
      <w:r>
        <w:rPr>
          <w:rFonts w:hint="eastAsia" w:ascii="仿宋_GB2312" w:hAnsi="华文仿宋" w:eastAsia="仿宋_GB2312"/>
          <w:sz w:val="28"/>
          <w:szCs w:val="28"/>
        </w:rPr>
        <w:t>）补修课：补修课由导师或导师组负责开设。必须通过考试，不计学分。要求在第一学年内完成。</w:t>
      </w:r>
    </w:p>
    <w:p>
      <w:pPr>
        <w:spacing w:line="500" w:lineRule="exact"/>
        <w:ind w:left="2940" w:firstLine="42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表一：课程设置清单</w:t>
      </w:r>
    </w:p>
    <w:tbl>
      <w:tblPr>
        <w:tblStyle w:val="19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360"/>
        <w:gridCol w:w="360"/>
        <w:gridCol w:w="1080"/>
        <w:gridCol w:w="2790"/>
        <w:gridCol w:w="540"/>
        <w:gridCol w:w="450"/>
        <w:gridCol w:w="2520"/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gridSpan w:val="3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总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32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学分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课程代码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课程名称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/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英文名称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学时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学分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课程负责人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restart"/>
            <w:textDirection w:val="tbRlV"/>
            <w:vAlign w:val="center"/>
          </w:tcPr>
          <w:p>
            <w:pPr>
              <w:snapToGrid w:val="0"/>
              <w:ind w:left="113" w:right="113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必修课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(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不少于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28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分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)</w:t>
            </w:r>
          </w:p>
          <w:p>
            <w:pPr>
              <w:snapToGrid w:val="0"/>
              <w:ind w:left="113" w:right="113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>
            <w:pPr>
              <w:snapToGrid w:val="0"/>
              <w:ind w:left="113" w:right="113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公共课</w:t>
            </w:r>
          </w:p>
          <w:p>
            <w:pPr>
              <w:snapToGrid w:val="0"/>
              <w:ind w:right="113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(8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学分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)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MAR5001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新时代中国特色社会主义理论与实践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Research on Theory and Practice of Socialism with Chinese Characteristics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马克思主义学院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MAR5002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自然辩证法概论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Dialectics of Nature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</w:t>
            </w:r>
          </w:p>
        </w:tc>
        <w:tc>
          <w:tcPr>
            <w:tcW w:w="252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二选一</w:t>
            </w:r>
          </w:p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MAR5003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马克思主义与社会科学方法论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Marxism and The Methodology of Social Science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</w:t>
            </w:r>
          </w:p>
        </w:tc>
        <w:tc>
          <w:tcPr>
            <w:tcW w:w="252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806" w:type="dxa"/>
            <w:vMerge w:val="continue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FL-5001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第一外国语（英语）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First Foreign Language(English)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外国语学院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硕士课程</w:t>
            </w:r>
          </w:p>
        </w:tc>
        <w:tc>
          <w:tcPr>
            <w:tcW w:w="360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专业基础课（不少于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17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DCS5101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随机过程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Stochastic Process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马啸、龚杰、杜育松、周育人</w:t>
            </w:r>
          </w:p>
        </w:tc>
        <w:tc>
          <w:tcPr>
            <w:tcW w:w="806" w:type="dxa"/>
            <w:vMerge w:val="restart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数理模块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>5</w:t>
            </w: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选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>1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（秋、春）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DCS5170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泛函分析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Functional Analysis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杨宏奇、张永东、陆遥</w:t>
            </w:r>
          </w:p>
        </w:tc>
        <w:tc>
          <w:tcPr>
            <w:tcW w:w="806" w:type="dxa"/>
            <w:vMerge w:val="continue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DCS5171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高等数值计算方法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Higher Numerical Calculation Methods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邹青松、张雨浓、谭志军、汪涛、黎卫兵</w:t>
            </w:r>
          </w:p>
        </w:tc>
        <w:tc>
          <w:tcPr>
            <w:tcW w:w="806" w:type="dxa"/>
            <w:vMerge w:val="continue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DCS5102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矩阵分析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Matrix Analysis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陈佩、马锦华、陈川、李全忠</w:t>
            </w:r>
          </w:p>
        </w:tc>
        <w:tc>
          <w:tcPr>
            <w:tcW w:w="806" w:type="dxa"/>
            <w:vMerge w:val="continue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DCS5103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最优化理论与方法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Optimization Theory and Methods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王国利、凌青、汪涛、李洽、衣杨</w:t>
            </w:r>
          </w:p>
        </w:tc>
        <w:tc>
          <w:tcPr>
            <w:tcW w:w="806" w:type="dxa"/>
            <w:vMerge w:val="continue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DCS5172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高级算法设计与分析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Advanced Algorithms and Programming Techniques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凌应标、戴智明、张子臻、冯剑琳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算法模块必选（秋）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DCS5179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计算机程序理论与模型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Computer Program Theory and Modeling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万海、张治国、周晓聪、李文军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  <w:lang w:eastAsia="zh-CN"/>
              </w:rPr>
              <w:t>软件理论模块必选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DCS5173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高级人工智能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Advanced Artificial Intelligence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王甲海、潘嵘、方艳梅、饶洋辉、林倞、李冠彬、卓汉逵、赖韩江、苏勤亮</w:t>
            </w:r>
          </w:p>
        </w:tc>
        <w:tc>
          <w:tcPr>
            <w:tcW w:w="806" w:type="dxa"/>
            <w:vMerge w:val="restart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方向基础模块</w:t>
            </w:r>
          </w:p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选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（秋、春）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DCS5174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高级计算机网络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Advanced Computer Networks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农革、温武少、周杰英、余顺争、张晓溪</w:t>
            </w:r>
          </w:p>
        </w:tc>
        <w:tc>
          <w:tcPr>
            <w:tcW w:w="806" w:type="dxa"/>
            <w:vMerge w:val="continue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DCS5176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并行算法设计与分析</w:t>
            </w:r>
          </w:p>
          <w:p>
            <w:pPr>
              <w:snapToGrid w:val="0"/>
              <w:contextualSpacing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Parallel Algorithms and Programming Techniques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沈鸿、黄聃、陶钧</w:t>
            </w:r>
          </w:p>
        </w:tc>
        <w:tc>
          <w:tcPr>
            <w:tcW w:w="806" w:type="dxa"/>
            <w:vMerge w:val="continue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DCS5169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学术规范与论文写作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Academic Norm and Writing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1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DCS5177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专业前沿讲座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Frontier Lectures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0</w:t>
            </w:r>
            <w:r>
              <w:rPr>
                <w:rFonts w:ascii="Calibri" w:hAnsi="Calibri" w:eastAsia="仿宋_GB2312"/>
                <w:kern w:val="0"/>
                <w:sz w:val="16"/>
                <w:szCs w:val="16"/>
              </w:rPr>
              <w:t>.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DCS5178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职业发展与综合素质培养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Career Development and Comprehensive Quality Training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0</w:t>
            </w:r>
            <w:r>
              <w:rPr>
                <w:rFonts w:ascii="Calibri" w:hAnsi="Calibri" w:eastAsia="仿宋_GB2312"/>
                <w:kern w:val="0"/>
                <w:sz w:val="16"/>
                <w:szCs w:val="16"/>
              </w:rPr>
              <w:t>.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专业课（建议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DCS5109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spacing w:val="-10"/>
                <w:kern w:val="0"/>
                <w:sz w:val="16"/>
                <w:szCs w:val="16"/>
              </w:rPr>
              <w:t>高级计算机体系结构</w:t>
            </w:r>
          </w:p>
          <w:p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Advanced Computer Architecture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吴迪、黄凯、胡淼、张献伟、陈志广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DCS5180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可计算性与数理逻辑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Computability and Mathematical Logic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刘咏梅、周晓聪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DCS5181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嵌入式系统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Embedded Systems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陈刚、吴贺俊、黄凯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DCS5182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高级分布式系统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Advanced Distributed Systems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陈鹏飞、吴维刚、林小拉、黄华威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DCS7108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spacing w:val="-10"/>
                <w:kern w:val="0"/>
                <w:sz w:val="16"/>
                <w:szCs w:val="16"/>
              </w:rPr>
              <w:t>模式识别</w:t>
            </w: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 xml:space="preserve"> 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Pattern Recognition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/>
                <w:sz w:val="16"/>
                <w:szCs w:val="16"/>
              </w:rPr>
              <w:t>郑伟诗、王瑞轩、杨猛、郑慧诚、胡建芳、李冠彬、张冬雨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DCS5183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高级网络与信息安全技术</w:t>
            </w:r>
          </w:p>
          <w:p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Advanced Network and Information Security Technology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金舒原、黄方军、卢伟、龙冬阳、谢逸、郑培嘉、刘红梅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DCS5184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无线通信与网络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Wireless Communications and Networking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龚杰、李全忠、倪江群、卞静、康显桂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博士课程</w:t>
            </w:r>
          </w:p>
        </w:tc>
        <w:tc>
          <w:tcPr>
            <w:tcW w:w="360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专业基础课（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4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DCS7101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计算复杂性理论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Theory of Computational Complexity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张方国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DCS5186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专业前沿专题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Frontiers Lectures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18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1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导师组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专业课（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6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DCS5185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现代偏微分方程计算方法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Modern Methods for Calculating Partial Differential Equations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邹青松、谭志军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" w:hAnsi="仿宋" w:eastAsia="仿宋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DCS5175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高级数据库技术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Advanced Database Technology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刘玉葆、饶洋辉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restart"/>
            <w:vAlign w:val="center"/>
          </w:tcPr>
          <w:p>
            <w:pPr>
              <w:snapToGrid w:val="0"/>
              <w:contextualSpacing/>
              <w:rPr>
                <w:rFonts w:ascii="Calibri" w:hAnsi="Calibri" w:eastAsia="仿宋_GB2312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选修课（建议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4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学分）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理论与算法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DCS6264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界面问题数值方法</w:t>
            </w:r>
          </w:p>
          <w:p>
            <w:pPr>
              <w:snapToGrid w:val="0"/>
              <w:contextualSpacing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ascii="仿宋_GB2312" w:hAnsi="宋体" w:eastAsia="仿宋_GB2312" w:cs="宋体"/>
                <w:kern w:val="0"/>
                <w:sz w:val="16"/>
                <w:szCs w:val="16"/>
              </w:rPr>
              <w:t>Numerical Methods for Interface Problems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  <w:highlight w:val="yellow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  <w:highlight w:val="yellow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谭志军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Calibri" w:hAnsi="Calibri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DCS6288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复变函数</w:t>
            </w:r>
          </w:p>
          <w:p>
            <w:pPr>
              <w:snapToGrid w:val="0"/>
              <w:contextualSpacing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ascii="仿宋_GB2312" w:hAnsi="宋体" w:eastAsia="仿宋_GB2312" w:cs="宋体"/>
                <w:kern w:val="0"/>
                <w:sz w:val="16"/>
                <w:szCs w:val="16"/>
              </w:rPr>
              <w:t>Functions of Complex Variables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骆伟祺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DCS6195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图论算法</w:t>
            </w:r>
          </w:p>
          <w:p>
            <w:pPr>
              <w:snapToGrid w:val="0"/>
              <w:contextualSpacing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ascii="仿宋_GB2312" w:hAnsi="宋体" w:eastAsia="仿宋_GB2312" w:cs="宋体"/>
                <w:kern w:val="0"/>
                <w:sz w:val="16"/>
                <w:szCs w:val="16"/>
              </w:rPr>
              <w:t>Graph Theory Algorithm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娄定俊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DCS6269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量子计算</w:t>
            </w:r>
          </w:p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Quantum Computation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邱道文、</w:t>
            </w: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李绿周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DCS6180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形式语言与自动机</w:t>
            </w:r>
          </w:p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Formal Language and Automata Theory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邱道文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DCS6239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有限域基础</w:t>
            </w:r>
          </w:p>
          <w:p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Introduction to Finite Fields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韦宝典、杜育松、郑培嘉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系统与网络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DCS6270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边缘计算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Edge Computing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陈旭、周知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DCS6271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软硬件协同设计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hardware software co design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陈刚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DCS6260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大数据存储技术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Big Data Storage Technology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/>
                <w:sz w:val="16"/>
                <w:szCs w:val="16"/>
              </w:rPr>
              <w:t>陈志广、肖侬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DCS6287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数据科学与工程</w:t>
            </w:r>
          </w:p>
          <w:p>
            <w:pPr>
              <w:snapToGrid w:val="0"/>
              <w:contextualSpacing/>
              <w:jc w:val="left"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ascii="仿宋_GB2312" w:hAnsi="宋体" w:eastAsia="仿宋_GB2312" w:cs="宋体"/>
                <w:kern w:val="0"/>
                <w:sz w:val="16"/>
                <w:szCs w:val="16"/>
              </w:rPr>
              <w:t>Data Science and Engineering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/>
                <w:sz w:val="16"/>
                <w:szCs w:val="16"/>
              </w:rPr>
            </w:pPr>
            <w:r>
              <w:rPr>
                <w:rFonts w:hint="eastAsia" w:ascii="仿宋_GB2312" w:hAnsi="宋体" w:eastAsia="仿宋_GB2312"/>
                <w:sz w:val="16"/>
                <w:szCs w:val="16"/>
              </w:rPr>
              <w:t>周杰英、吴维刚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DCS6272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16"/>
                <w:szCs w:val="16"/>
              </w:rPr>
              <w:t>网络测量与性能分析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Network measurement and performance analysis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谢逸、余顺争、周杰英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DCS6290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16"/>
                <w:szCs w:val="16"/>
              </w:rPr>
              <w:t>区块链原理与技术</w:t>
            </w:r>
          </w:p>
          <w:p>
            <w:pPr>
              <w:snapToGrid w:val="0"/>
              <w:contextualSpacing/>
              <w:rPr>
                <w:rFonts w:ascii="仿宋_GB2312" w:hAnsi="宋体" w:eastAsia="仿宋_GB2312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16"/>
                <w:szCs w:val="16"/>
              </w:rPr>
              <w:t>Blockchain Principles and Technologies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黄华威、陈亮、吴嘉婧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AI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与大数据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DCS6173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spacing w:val="-10"/>
                <w:kern w:val="0"/>
                <w:sz w:val="16"/>
                <w:szCs w:val="16"/>
              </w:rPr>
              <w:t>数据挖掘</w:t>
            </w: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 xml:space="preserve"> 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  <w:t>Data Mining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/>
                <w:sz w:val="16"/>
                <w:szCs w:val="16"/>
              </w:rPr>
              <w:t>潘嵘、王昌栋、陈林、梁上松、郑培嘉、任江涛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DCS5119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数字图像处理</w:t>
            </w:r>
            <w:r>
              <w:rPr>
                <w:rFonts w:ascii="仿宋_GB2312" w:eastAsia="仿宋_GB2312"/>
                <w:kern w:val="0"/>
                <w:sz w:val="16"/>
                <w:szCs w:val="16"/>
              </w:rPr>
              <w:t xml:space="preserve">   </w:t>
            </w:r>
          </w:p>
          <w:p>
            <w:pPr>
              <w:snapToGrid w:val="0"/>
              <w:contextualSpacing/>
              <w:jc w:val="left"/>
              <w:rPr>
                <w:rFonts w:ascii="仿宋_GB2312" w:eastAsia="仿宋_GB2312"/>
                <w:spacing w:val="-10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Digital Image Processing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54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赖剑煌、谢晓华、朝红阳、倪江群、郑慧诚、刘宁、曾坤、罗志宏、潘炎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DCS6262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深度学习前沿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Frontiers of Deep Learning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/>
                <w:sz w:val="16"/>
                <w:szCs w:val="16"/>
              </w:rPr>
              <w:t>王瑞轩、胡建芳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DCS6203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知识表示与推理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Knowledge Representation and Reasoning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/>
                <w:sz w:val="16"/>
                <w:szCs w:val="16"/>
              </w:rPr>
              <w:t>刘咏梅、万海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DCS6273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无人系统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Unmanned Systems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/>
                <w:sz w:val="16"/>
                <w:szCs w:val="16"/>
              </w:rPr>
              <w:t>成慧、黄凯、陈刚、谭宁、吴贺俊、潘永平、陈龙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DCS6266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color w:val="000000"/>
                <w:kern w:val="0"/>
                <w:sz w:val="16"/>
                <w:szCs w:val="16"/>
              </w:rPr>
              <w:t>自然语言处理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Natural Language Processing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/>
                <w:sz w:val="16"/>
                <w:szCs w:val="16"/>
              </w:rPr>
              <w:t>权小军、潘炎、杨猛、潘嵘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DCS6289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color w:val="000000"/>
                <w:kern w:val="0"/>
                <w:sz w:val="16"/>
                <w:szCs w:val="16"/>
              </w:rPr>
              <w:t>强化学习原理及应用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color w:val="000000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color w:val="000000"/>
                <w:kern w:val="0"/>
                <w:sz w:val="16"/>
                <w:szCs w:val="16"/>
              </w:rPr>
              <w:t>Principles and Applications of Reinforcement Learning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/>
                <w:sz w:val="16"/>
                <w:szCs w:val="16"/>
              </w:rPr>
            </w:pPr>
            <w:r>
              <w:rPr>
                <w:rFonts w:hint="eastAsia" w:ascii="仿宋_GB2312" w:hAnsi="宋体" w:eastAsia="仿宋_GB2312"/>
                <w:sz w:val="16"/>
                <w:szCs w:val="16"/>
              </w:rPr>
              <w:t>余超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安全与隐私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DCS6274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密码学前沿技术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Advanced Topics of Modern Cryptography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张方国、田海博、龙冬阳、杜育松、郑培嘉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DCS6275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数据隐私保护与安全计算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Data Privacy Protection and Secure Computing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桑应朋、郑培嘉、沈鸿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DCS6276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多媒体内容安全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Multimedia Content Security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倪江群、黄方军、方艳梅、郑培嘉、刘红梅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DCS6277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密码算法的</w:t>
            </w: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FPGA</w:t>
            </w: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工程实践</w:t>
            </w:r>
          </w:p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FPGA Engineering Practice for Cryptographic Algorithms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ascii="仿宋_GB2312" w:hAnsi="F4" w:eastAsia="仿宋_GB2312" w:cs="F4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F4" w:eastAsia="仿宋_GB2312" w:cs="F4"/>
                <w:kern w:val="0"/>
                <w:sz w:val="16"/>
                <w:szCs w:val="16"/>
              </w:rPr>
            </w:pPr>
            <w:r>
              <w:rPr>
                <w:rFonts w:hint="eastAsia" w:ascii="仿宋_GB2312" w:hAnsi="F4" w:eastAsia="仿宋_GB2312" w:cs="F4"/>
                <w:kern w:val="0"/>
                <w:sz w:val="16"/>
                <w:szCs w:val="16"/>
              </w:rPr>
              <w:t>杜育松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软件与应用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DCS6278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面向对象技术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Object-oriented Technology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衣杨、刘聪、刘红梅、王青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DCS6279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rPr>
                <w:rFonts w:ascii="仿宋_GB2312" w:hAnsi="宋体" w:eastAsia="仿宋_GB2312" w:cs="宋体"/>
                <w:kern w:val="0"/>
                <w:sz w:val="16"/>
                <w:szCs w:val="16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6"/>
                <w:szCs w:val="16"/>
              </w:rPr>
              <w:t>计算可视媒体</w:t>
            </w:r>
          </w:p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Computational Visual Media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王若梅、高成英、苏卓、周凡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DCS6280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软件项目管理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Software Project Management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毛明志、林倞、卞静、王青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DCS6281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数字几何处理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Digital Geometry Processing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王若梅、</w:t>
            </w:r>
            <w:r>
              <w:rPr>
                <w:rFonts w:hint="eastAsia" w:ascii="仿宋_GB2312" w:eastAsia="仿宋_GB2312"/>
                <w:kern w:val="0"/>
                <w:sz w:val="16"/>
                <w:szCs w:val="16"/>
              </w:rPr>
              <w:t>高成英、苏卓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DCS6282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虚拟现实与可视化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Virtual Reality and Visualization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纪庆革、陶钧、周凡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DCS6283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软件工程理论基础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Fundamentals of Software Engineering Theory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陈亮、吴嘉婧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(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春</w:t>
            </w: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)</w:t>
            </w: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、陈武辉、周晓聪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DCS6284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工作流技术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Advances in Workflow Technology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余阳、王青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45" w:type="dxa"/>
            <w:vMerge w:val="continue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交叉科学</w:t>
            </w:r>
          </w:p>
        </w:tc>
        <w:tc>
          <w:tcPr>
            <w:tcW w:w="1080" w:type="dxa"/>
            <w:vAlign w:val="center"/>
          </w:tcPr>
          <w:p>
            <w:pPr>
              <w:snapToGrid w:val="0"/>
              <w:contextualSpacing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DCS6285</w:t>
            </w:r>
          </w:p>
        </w:tc>
        <w:tc>
          <w:tcPr>
            <w:tcW w:w="279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生物信息计算前沿</w:t>
            </w:r>
          </w:p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Frontiers of Bioinformatics Computing</w:t>
            </w:r>
          </w:p>
        </w:tc>
        <w:tc>
          <w:tcPr>
            <w:tcW w:w="54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36</w:t>
            </w:r>
          </w:p>
        </w:tc>
        <w:tc>
          <w:tcPr>
            <w:tcW w:w="450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ascii="仿宋_GB2312" w:hAnsi="华文仿宋" w:eastAsia="仿宋_GB2312"/>
                <w:kern w:val="0"/>
                <w:sz w:val="16"/>
                <w:szCs w:val="16"/>
              </w:rPr>
              <w:t>2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contextualSpacing/>
              <w:jc w:val="left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杨跃东、戴智明</w:t>
            </w:r>
          </w:p>
        </w:tc>
        <w:tc>
          <w:tcPr>
            <w:tcW w:w="806" w:type="dxa"/>
            <w:vAlign w:val="center"/>
          </w:tcPr>
          <w:p>
            <w:pPr>
              <w:snapToGrid w:val="0"/>
              <w:contextualSpacing/>
              <w:jc w:val="center"/>
              <w:rPr>
                <w:rFonts w:ascii="仿宋_GB2312" w:hAnsi="华文仿宋" w:eastAsia="仿宋_GB2312"/>
                <w:kern w:val="0"/>
                <w:sz w:val="16"/>
                <w:szCs w:val="16"/>
              </w:rPr>
            </w:pPr>
            <w:r>
              <w:rPr>
                <w:rFonts w:hint="eastAsia" w:ascii="仿宋_GB2312" w:hAnsi="华文仿宋" w:eastAsia="仿宋_GB2312"/>
                <w:kern w:val="0"/>
                <w:sz w:val="16"/>
                <w:szCs w:val="16"/>
              </w:rPr>
              <w:t>（秋）</w:t>
            </w:r>
          </w:p>
        </w:tc>
      </w:tr>
    </w:tbl>
    <w:p>
      <w:pPr>
        <w:spacing w:line="500" w:lineRule="exact"/>
        <w:jc w:val="center"/>
        <w:rPr>
          <w:rFonts w:ascii="仿宋" w:hAnsi="仿宋" w:eastAsia="仿宋" w:cs="仿宋"/>
          <w:color w:val="000000"/>
          <w:kern w:val="0"/>
          <w:sz w:val="28"/>
          <w:szCs w:val="28"/>
        </w:rPr>
      </w:pPr>
    </w:p>
    <w:p>
      <w:pPr>
        <w:spacing w:line="500" w:lineRule="exact"/>
        <w:jc w:val="center"/>
        <w:rPr>
          <w:rFonts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</w:rPr>
        <w:t>表二：</w:t>
      </w:r>
      <w:r>
        <w:rPr>
          <w:rFonts w:hint="eastAsia" w:ascii="仿宋_GB2312" w:hAnsi="华文仿宋" w:eastAsia="仿宋_GB2312"/>
          <w:sz w:val="28"/>
          <w:szCs w:val="28"/>
        </w:rPr>
        <w:t>本专业补修课列表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9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169" w:type="dxa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2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8"/>
              </w:rPr>
              <w:t>课程性质</w:t>
            </w:r>
          </w:p>
        </w:tc>
        <w:tc>
          <w:tcPr>
            <w:tcW w:w="5891" w:type="dxa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2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8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  <w:vMerge w:val="restart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8"/>
              </w:rPr>
              <w:t>补修课</w:t>
            </w:r>
          </w:p>
        </w:tc>
        <w:tc>
          <w:tcPr>
            <w:tcW w:w="5891" w:type="dxa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计算机组成原理</w:t>
            </w:r>
            <w:r>
              <w:rPr>
                <w:rFonts w:ascii="仿宋" w:hAnsi="仿宋" w:eastAsia="仿宋" w:cs="仿宋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91" w:type="dxa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91" w:type="dxa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9" w:type="dxa"/>
            <w:vMerge w:val="continue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891" w:type="dxa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软件工程</w:t>
            </w:r>
          </w:p>
        </w:tc>
      </w:tr>
      <w:bookmarkEnd w:id="0"/>
    </w:tbl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</w:p>
    <w:p>
      <w:pPr>
        <w:spacing w:line="500" w:lineRule="exact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七、培养环节与要求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严格按照中山大学《学位与研究生教育工作手册》的有关规定执行，除完成课程学习任务并修满规定的学分外，要求博士研究生掌握坚实宽广的基础理论和系统深入的专业知识，具有独立从事科研工作的能力，有严谨求实的科学态度和学风，学位论文具有较高的创新性。具体保障措施如下：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读书报告：学生在读期间应认真阅读国内外文献</w:t>
      </w:r>
      <w:r>
        <w:rPr>
          <w:rFonts w:ascii="仿宋_GB2312" w:hAnsi="宋体" w:eastAsia="仿宋_GB2312"/>
          <w:sz w:val="28"/>
          <w:szCs w:val="28"/>
        </w:rPr>
        <w:t>100</w:t>
      </w:r>
      <w:r>
        <w:rPr>
          <w:rFonts w:hint="eastAsia" w:ascii="仿宋_GB2312" w:hAnsi="宋体" w:eastAsia="仿宋_GB2312"/>
          <w:sz w:val="28"/>
          <w:szCs w:val="28"/>
        </w:rPr>
        <w:t>篇以上，写出综述报告，由导师对研究生阅读文献进行检查。读书报告可结合开题报告进行。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学术活动：博士生在论文工作期间每学年至少做一次学术报告；至少有一次在全国性或国际学术会议上报告自己撰写的论文。博士生在学期间应参加</w:t>
      </w:r>
      <w:r>
        <w:rPr>
          <w:rFonts w:ascii="仿宋_GB2312" w:hAnsi="宋体" w:eastAsia="仿宋_GB2312"/>
          <w:sz w:val="28"/>
          <w:szCs w:val="28"/>
        </w:rPr>
        <w:t>30</w:t>
      </w:r>
      <w:r>
        <w:rPr>
          <w:rFonts w:hint="eastAsia" w:ascii="仿宋_GB2312" w:hAnsi="宋体" w:eastAsia="仿宋_GB2312"/>
          <w:sz w:val="28"/>
          <w:szCs w:val="28"/>
        </w:rPr>
        <w:t>次以上学术报告，其中至少</w:t>
      </w: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次为跨二级学科的学术报告。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开题报告：开题报告选题应属于本学科范围。开题报告内容包括学位论文选题的背景意义和依据，与学位论文选题相关的最新成果和发展动态；学位论文的研究内容及拟采取的实施方案，关键技术及难点，预期达到的目标；学位论文详细工作进度安排和主要参考文献等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4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中期检查：中期检查内容包括检查课程学习的学分是否满足要求，论文研究的进展情况等。对于学位论文中期检查不满足要求的学生，应给予书面警告，并在后期或学位论文答辩中重点督查。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5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实践环节：要求全日制博士生按照学校的相关规定承担学院组织的助教工作。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6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论文预答辩：由指导小组组织预答辩，决定是否进入后续阶段。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7</w:t>
      </w:r>
      <w:r>
        <w:rPr>
          <w:rFonts w:hint="eastAsia" w:ascii="Calibri" w:hAnsi="Calibri" w:eastAsia="仿宋_GB2312"/>
          <w:sz w:val="28"/>
          <w:szCs w:val="28"/>
        </w:rPr>
        <w:t>、</w:t>
      </w:r>
      <w:r>
        <w:rPr>
          <w:rFonts w:hint="eastAsia" w:ascii="仿宋_GB2312" w:hAnsi="宋体" w:eastAsia="仿宋_GB2312"/>
          <w:sz w:val="28"/>
          <w:szCs w:val="28"/>
        </w:rPr>
        <w:t>论文评阅：按中山大学《学位与研究生教育工作手册》有关规定执行。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八、学位论文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博士学位论文应具有较高的创新性及学术水平，除满足学校的基本要求外，在攻读学位期间，博士生发表的学术成果的质量及数量必须满足学院相关规定的要求。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" w:hAnsi="仿宋" w:eastAsia="仿宋" w:cs="仿宋"/>
          <w:color w:val="000000"/>
          <w:kern w:val="0"/>
          <w:sz w:val="28"/>
          <w:szCs w:val="28"/>
        </w:rPr>
      </w:pP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spacing w:line="500" w:lineRule="exact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九、论文答辩与学位授予</w:t>
      </w:r>
    </w:p>
    <w:p>
      <w:pPr>
        <w:adjustRightInd w:val="0"/>
        <w:snapToGrid w:val="0"/>
        <w:spacing w:line="500" w:lineRule="exact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按《中山大学博士硕士学位授予工作细则》要求执行，有关学位论文的审核、论文的水平评价、对发表学术论文的要求等，在符合学校有关规定基本要求的前提下，统一参照数据科学与计算机学院博士生发表学术论文具体规定。</w:t>
      </w:r>
    </w:p>
    <w:p>
      <w:pPr>
        <w:adjustRightInd w:val="0"/>
        <w:snapToGrid w:val="0"/>
        <w:spacing w:line="500" w:lineRule="exact"/>
        <w:ind w:firstLine="560" w:firstLineChars="200"/>
        <w:jc w:val="left"/>
        <w:rPr>
          <w:rFonts w:ascii="仿宋_GB2312" w:hAnsi="华文仿宋" w:eastAsia="仿宋_GB2312"/>
          <w:sz w:val="28"/>
          <w:szCs w:val="28"/>
        </w:rPr>
      </w:pPr>
    </w:p>
    <w:p>
      <w:pPr>
        <w:adjustRightInd w:val="0"/>
        <w:snapToGrid w:val="0"/>
        <w:spacing w:line="500" w:lineRule="exact"/>
        <w:jc w:val="left"/>
        <w:rPr>
          <w:rFonts w:ascii="仿宋_GB2312" w:hAnsi="宋体" w:eastAsia="仿宋_GB2312"/>
          <w:b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 xml:space="preserve"> </w:t>
      </w:r>
      <w:r>
        <w:rPr>
          <w:rFonts w:hint="eastAsia" w:ascii="仿宋_GB2312" w:hAnsi="宋体" w:eastAsia="仿宋_GB2312"/>
          <w:b/>
          <w:sz w:val="28"/>
          <w:szCs w:val="28"/>
        </w:rPr>
        <w:t>十、必读和选读书目</w:t>
      </w:r>
    </w:p>
    <w:p>
      <w:pPr>
        <w:widowControl/>
        <w:spacing w:beforeLines="50" w:afterLines="50" w:line="500" w:lineRule="exact"/>
        <w:jc w:val="center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表</w:t>
      </w: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：本专业必读与选读书目一览表</w:t>
      </w:r>
    </w:p>
    <w:tbl>
      <w:tblPr>
        <w:tblStyle w:val="19"/>
        <w:tblW w:w="82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006"/>
        <w:gridCol w:w="1559"/>
        <w:gridCol w:w="1134"/>
        <w:gridCol w:w="113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F2F2F2"/>
            <w:vAlign w:val="center"/>
          </w:tcPr>
          <w:p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序号</w:t>
            </w:r>
          </w:p>
        </w:tc>
        <w:tc>
          <w:tcPr>
            <w:tcW w:w="300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F2F2F2"/>
            <w:vAlign w:val="center"/>
          </w:tcPr>
          <w:p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著作或期刊名</w:t>
            </w: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F2F2F2"/>
            <w:vAlign w:val="center"/>
          </w:tcPr>
          <w:p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作者及出版社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F2F2F2"/>
            <w:vAlign w:val="center"/>
          </w:tcPr>
          <w:p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必</w:t>
            </w:r>
            <w:r>
              <w:rPr>
                <w:rFonts w:ascii="仿宋_GB2312" w:hAnsi="宋体" w:eastAsia="仿宋_GB2312"/>
                <w:b/>
                <w:szCs w:val="21"/>
              </w:rPr>
              <w:t>(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>选</w:t>
            </w:r>
            <w:r>
              <w:rPr>
                <w:rFonts w:ascii="仿宋_GB2312" w:hAnsi="宋体" w:eastAsia="仿宋_GB2312"/>
                <w:b/>
                <w:szCs w:val="21"/>
              </w:rPr>
              <w:t>)</w:t>
            </w:r>
            <w:r>
              <w:rPr>
                <w:rFonts w:hint="eastAsia" w:ascii="仿宋_GB2312" w:hAnsi="宋体" w:eastAsia="仿宋_GB2312"/>
                <w:b/>
                <w:szCs w:val="21"/>
              </w:rPr>
              <w:t>读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F2F2F2"/>
            <w:vAlign w:val="center"/>
          </w:tcPr>
          <w:p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考核方式</w:t>
            </w:r>
          </w:p>
        </w:tc>
        <w:tc>
          <w:tcPr>
            <w:tcW w:w="709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2F2F2"/>
            <w:vAlign w:val="center"/>
          </w:tcPr>
          <w:p>
            <w:pPr>
              <w:tabs>
                <w:tab w:val="left" w:pos="3348"/>
                <w:tab w:val="left" w:pos="4968"/>
              </w:tabs>
              <w:spacing w:before="100" w:beforeAutospacing="1" w:after="100" w:afterAutospacing="1"/>
              <w:jc w:val="center"/>
              <w:rPr>
                <w:rFonts w:ascii="仿宋_GB2312" w:hAnsi="宋体" w:eastAsia="仿宋_GB2312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1</w:t>
            </w:r>
          </w:p>
        </w:tc>
        <w:tc>
          <w:tcPr>
            <w:tcW w:w="3006" w:type="dxa"/>
            <w:tcBorders>
              <w:top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IEEE/IET/ACM</w:t>
            </w:r>
            <w:r>
              <w:rPr>
                <w:rFonts w:hint="eastAsia" w:ascii="仿宋_GB2312" w:hAnsi="宋体" w:eastAsia="仿宋_GB2312"/>
                <w:szCs w:val="21"/>
              </w:rPr>
              <w:t>等相关刊物</w:t>
            </w:r>
          </w:p>
        </w:tc>
        <w:tc>
          <w:tcPr>
            <w:tcW w:w="1559" w:type="dxa"/>
            <w:tcBorders>
              <w:top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IEEE/IET/ACM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选读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导师考核</w:t>
            </w:r>
          </w:p>
        </w:tc>
        <w:tc>
          <w:tcPr>
            <w:tcW w:w="70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2</w:t>
            </w:r>
          </w:p>
        </w:tc>
        <w:tc>
          <w:tcPr>
            <w:tcW w:w="3006" w:type="dxa"/>
            <w:vAlign w:val="center"/>
          </w:tcPr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中国科学</w:t>
            </w:r>
          </w:p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科学通报</w:t>
            </w:r>
          </w:p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计算机学报</w:t>
            </w:r>
          </w:p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Journal of Computer Science and Technology</w:t>
            </w:r>
          </w:p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软件学报</w:t>
            </w:r>
          </w:p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计算机研究与发展</w:t>
            </w:r>
          </w:p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ind w:firstLine="105" w:firstLineChars="50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等计算机类学报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CNKI</w:t>
            </w:r>
            <w:r>
              <w:rPr>
                <w:rFonts w:hint="eastAsia" w:eastAsia="仿宋_GB2312"/>
                <w:szCs w:val="21"/>
              </w:rPr>
              <w:t>数据库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选读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导师考核</w:t>
            </w:r>
          </w:p>
        </w:tc>
        <w:tc>
          <w:tcPr>
            <w:tcW w:w="709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9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3</w:t>
            </w:r>
          </w:p>
        </w:tc>
        <w:tc>
          <w:tcPr>
            <w:tcW w:w="3006" w:type="dxa"/>
            <w:vAlign w:val="center"/>
          </w:tcPr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电子学报</w:t>
            </w:r>
          </w:p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通信学报</w:t>
            </w:r>
          </w:p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自动化学报</w:t>
            </w:r>
          </w:p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ind w:firstLine="105" w:firstLineChars="50"/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等电子工程类学报</w:t>
            </w:r>
          </w:p>
        </w:tc>
        <w:tc>
          <w:tcPr>
            <w:tcW w:w="1559" w:type="dxa"/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CNKI</w:t>
            </w:r>
            <w:r>
              <w:rPr>
                <w:rFonts w:hint="eastAsia" w:eastAsia="仿宋_GB2312"/>
                <w:szCs w:val="21"/>
              </w:rPr>
              <w:t>数据库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选读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导师考核</w:t>
            </w:r>
          </w:p>
        </w:tc>
        <w:tc>
          <w:tcPr>
            <w:tcW w:w="709" w:type="dxa"/>
            <w:tcBorders>
              <w:right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709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4</w:t>
            </w:r>
          </w:p>
        </w:tc>
        <w:tc>
          <w:tcPr>
            <w:tcW w:w="3006" w:type="dxa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lef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导师指定的参考书目</w:t>
            </w:r>
          </w:p>
        </w:tc>
        <w:tc>
          <w:tcPr>
            <w:tcW w:w="1559" w:type="dxa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CNKI</w:t>
            </w:r>
            <w:r>
              <w:rPr>
                <w:rFonts w:hint="eastAsia" w:eastAsia="仿宋_GB2312"/>
                <w:szCs w:val="21"/>
              </w:rPr>
              <w:t>数据库</w:t>
            </w: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必读</w:t>
            </w: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导师考核</w:t>
            </w:r>
          </w:p>
        </w:tc>
        <w:tc>
          <w:tcPr>
            <w:tcW w:w="70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3348"/>
                <w:tab w:val="left" w:pos="4968"/>
              </w:tabs>
              <w:adjustRightInd w:val="0"/>
              <w:snapToGrid w:val="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</w:tbl>
    <w:p>
      <w:pPr>
        <w:adjustRightInd w:val="0"/>
        <w:snapToGrid w:val="0"/>
        <w:spacing w:line="500" w:lineRule="exact"/>
        <w:jc w:val="left"/>
        <w:rPr>
          <w:rFonts w:ascii="仿宋_GB2312" w:hAnsi="宋体" w:eastAsia="仿宋_GB2312"/>
          <w:sz w:val="28"/>
          <w:szCs w:val="28"/>
        </w:rPr>
      </w:pPr>
    </w:p>
    <w:p>
      <w:pPr>
        <w:adjustRightInd w:val="0"/>
        <w:snapToGrid w:val="0"/>
        <w:spacing w:line="500" w:lineRule="exact"/>
        <w:jc w:val="left"/>
        <w:rPr>
          <w:rFonts w:ascii="仿宋_GB2312" w:hAnsi="宋体" w:eastAsia="仿宋_GB2312"/>
          <w:sz w:val="28"/>
          <w:szCs w:val="28"/>
        </w:rPr>
      </w:pPr>
    </w:p>
    <w:p>
      <w:pPr>
        <w:snapToGrid w:val="0"/>
        <w:spacing w:line="360" w:lineRule="auto"/>
        <w:ind w:firstLine="4270" w:firstLineChars="1525"/>
        <w:rPr>
          <w:rFonts w:eastAsia="黑体"/>
          <w:bCs/>
          <w:color w:val="000000"/>
          <w:sz w:val="28"/>
          <w:szCs w:val="28"/>
        </w:rPr>
      </w:pPr>
    </w:p>
    <w:p>
      <w:pPr>
        <w:snapToGrid w:val="0"/>
        <w:spacing w:line="360" w:lineRule="auto"/>
        <w:ind w:firstLine="5110" w:firstLineChars="1825"/>
        <w:rPr>
          <w:rFonts w:eastAsia="楷体"/>
          <w:color w:val="000000"/>
          <w:sz w:val="28"/>
          <w:szCs w:val="28"/>
        </w:rPr>
      </w:pPr>
      <w:r>
        <w:rPr>
          <w:rFonts w:hint="eastAsia" w:eastAsia="黑体"/>
          <w:bCs/>
          <w:color w:val="000000"/>
          <w:sz w:val="28"/>
          <w:szCs w:val="28"/>
        </w:rPr>
        <w:t>负责人</w:t>
      </w:r>
      <w:r>
        <w:rPr>
          <w:rFonts w:eastAsia="黑体"/>
          <w:bCs/>
          <w:color w:val="000000"/>
          <w:sz w:val="28"/>
          <w:szCs w:val="28"/>
        </w:rPr>
        <w:t>:</w:t>
      </w:r>
    </w:p>
    <w:p>
      <w:pPr>
        <w:spacing w:line="360" w:lineRule="auto"/>
        <w:jc w:val="right"/>
        <w:rPr>
          <w:rFonts w:ascii="仿宋_GB2312" w:eastAsia="PMingLiU"/>
          <w:color w:val="000000"/>
          <w:sz w:val="28"/>
          <w:szCs w:val="28"/>
          <w:lang w:eastAsia="zh-TW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修订</w:t>
      </w:r>
      <w:r>
        <w:rPr>
          <w:rFonts w:hint="eastAsia" w:ascii="仿宋_GB2312" w:eastAsia="仿宋_GB2312"/>
          <w:color w:val="000000"/>
          <w:sz w:val="28"/>
          <w:szCs w:val="28"/>
          <w:lang w:eastAsia="zh-TW"/>
        </w:rPr>
        <w:t>日期：</w:t>
      </w:r>
      <w:r>
        <w:rPr>
          <w:rFonts w:hint="eastAsia" w:ascii="仿宋_GB2312" w:eastAsia="仿宋_GB2312"/>
          <w:color w:val="000000"/>
          <w:sz w:val="28"/>
          <w:szCs w:val="28"/>
        </w:rPr>
        <w:t>　　</w:t>
      </w:r>
      <w:r>
        <w:rPr>
          <w:rFonts w:hint="eastAsia" w:ascii="仿宋_GB2312" w:eastAsia="仿宋_GB2312"/>
          <w:color w:val="000000"/>
          <w:sz w:val="28"/>
          <w:szCs w:val="28"/>
          <w:lang w:eastAsia="zh-TW"/>
        </w:rPr>
        <w:t>年</w:t>
      </w:r>
      <w:r>
        <w:rPr>
          <w:rFonts w:ascii="仿宋_GB2312" w:eastAsia="仿宋_GB2312"/>
          <w:color w:val="000000"/>
          <w:sz w:val="28"/>
          <w:szCs w:val="28"/>
        </w:rPr>
        <w:t xml:space="preserve">    </w:t>
      </w:r>
      <w:r>
        <w:rPr>
          <w:rFonts w:hint="eastAsia" w:ascii="仿宋_GB2312" w:eastAsia="仿宋_GB2312"/>
          <w:color w:val="000000"/>
          <w:sz w:val="28"/>
          <w:szCs w:val="28"/>
          <w:lang w:eastAsia="zh-TW"/>
        </w:rPr>
        <w:t>月</w:t>
      </w:r>
      <w:r>
        <w:rPr>
          <w:rFonts w:ascii="仿宋_GB2312" w:eastAsia="仿宋_GB2312"/>
          <w:color w:val="000000"/>
          <w:sz w:val="28"/>
          <w:szCs w:val="28"/>
        </w:rPr>
        <w:t xml:space="preserve">    </w:t>
      </w:r>
      <w:r>
        <w:rPr>
          <w:rFonts w:hint="eastAsia" w:ascii="仿宋_GB2312" w:eastAsia="仿宋_GB2312"/>
          <w:color w:val="000000"/>
          <w:sz w:val="28"/>
          <w:szCs w:val="28"/>
          <w:lang w:eastAsia="zh-TW"/>
        </w:rPr>
        <w:t>日</w:t>
      </w:r>
    </w:p>
    <w:p>
      <w:pPr>
        <w:widowControl/>
        <w:jc w:val="left"/>
        <w:rPr>
          <w:rFonts w:hAnsi="仿宋"/>
        </w:rPr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1531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ind w:firstLine="8120" w:firstLineChars="2900"/>
      <w:jc w:val="right"/>
      <w:rPr>
        <w:rStyle w:val="22"/>
        <w:sz w:val="28"/>
      </w:rPr>
    </w:pPr>
    <w:r>
      <w:rPr>
        <w:rStyle w:val="22"/>
        <w:sz w:val="28"/>
      </w:rPr>
      <w:t>—</w:t>
    </w:r>
    <w:r>
      <w:rPr>
        <w:rStyle w:val="22"/>
        <w:sz w:val="28"/>
      </w:rPr>
      <w:fldChar w:fldCharType="begin"/>
    </w:r>
    <w:r>
      <w:rPr>
        <w:rStyle w:val="22"/>
        <w:sz w:val="28"/>
      </w:rPr>
      <w:instrText xml:space="preserve">PAGE  </w:instrText>
    </w:r>
    <w:r>
      <w:rPr>
        <w:rStyle w:val="22"/>
        <w:sz w:val="28"/>
      </w:rPr>
      <w:fldChar w:fldCharType="separate"/>
    </w:r>
    <w:r>
      <w:rPr>
        <w:rStyle w:val="22"/>
        <w:sz w:val="28"/>
      </w:rPr>
      <w:t>2</w:t>
    </w:r>
    <w:r>
      <w:rPr>
        <w:rStyle w:val="22"/>
        <w:sz w:val="28"/>
      </w:rPr>
      <w:fldChar w:fldCharType="end"/>
    </w:r>
    <w:r>
      <w:rPr>
        <w:rStyle w:val="22"/>
        <w:sz w:val="28"/>
      </w:rPr>
      <w:t>—</w:t>
    </w:r>
  </w:p>
  <w:p>
    <w:pPr>
      <w:pStyle w:val="12"/>
      <w:framePr w:wrap="around" w:vAnchor="text" w:hAnchor="margin" w:xAlign="right" w:y="1"/>
      <w:ind w:right="360" w:firstLine="360"/>
      <w:rPr>
        <w:rStyle w:val="22"/>
      </w:rPr>
    </w:pPr>
  </w:p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1</w:t>
    </w:r>
    <w:r>
      <w:rPr>
        <w:rStyle w:val="22"/>
      </w:rPr>
      <w:fldChar w:fldCharType="end"/>
    </w:r>
  </w:p>
  <w:p>
    <w:pPr>
      <w:pStyle w:val="1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3C32"/>
    <w:rsid w:val="00006388"/>
    <w:rsid w:val="00007EC0"/>
    <w:rsid w:val="000106E2"/>
    <w:rsid w:val="000131B2"/>
    <w:rsid w:val="00036CFA"/>
    <w:rsid w:val="000442F0"/>
    <w:rsid w:val="000457AC"/>
    <w:rsid w:val="000965D8"/>
    <w:rsid w:val="000A4672"/>
    <w:rsid w:val="000C2826"/>
    <w:rsid w:val="000E65A7"/>
    <w:rsid w:val="000F199A"/>
    <w:rsid w:val="001078F2"/>
    <w:rsid w:val="001233DE"/>
    <w:rsid w:val="001604EC"/>
    <w:rsid w:val="00163FC9"/>
    <w:rsid w:val="00164EDC"/>
    <w:rsid w:val="0017172C"/>
    <w:rsid w:val="00171ABF"/>
    <w:rsid w:val="00173BA0"/>
    <w:rsid w:val="001A0A2B"/>
    <w:rsid w:val="001A11DB"/>
    <w:rsid w:val="001B1D6C"/>
    <w:rsid w:val="001B269D"/>
    <w:rsid w:val="001C237C"/>
    <w:rsid w:val="001C4427"/>
    <w:rsid w:val="001C75A0"/>
    <w:rsid w:val="001E289E"/>
    <w:rsid w:val="001E54FD"/>
    <w:rsid w:val="001F3FE6"/>
    <w:rsid w:val="00206730"/>
    <w:rsid w:val="00215E3D"/>
    <w:rsid w:val="002164E5"/>
    <w:rsid w:val="00225B1A"/>
    <w:rsid w:val="002454AD"/>
    <w:rsid w:val="002459C4"/>
    <w:rsid w:val="00261E5C"/>
    <w:rsid w:val="002832E0"/>
    <w:rsid w:val="00294BD2"/>
    <w:rsid w:val="002A4B1D"/>
    <w:rsid w:val="002A7DF9"/>
    <w:rsid w:val="002B5ED4"/>
    <w:rsid w:val="002C62CE"/>
    <w:rsid w:val="002D04D3"/>
    <w:rsid w:val="002D22B6"/>
    <w:rsid w:val="002D3B27"/>
    <w:rsid w:val="002D6540"/>
    <w:rsid w:val="002F2C57"/>
    <w:rsid w:val="002F4DCC"/>
    <w:rsid w:val="003102D9"/>
    <w:rsid w:val="00310338"/>
    <w:rsid w:val="00310614"/>
    <w:rsid w:val="00313816"/>
    <w:rsid w:val="0032144A"/>
    <w:rsid w:val="00326F09"/>
    <w:rsid w:val="00332329"/>
    <w:rsid w:val="00342A8C"/>
    <w:rsid w:val="00343E5A"/>
    <w:rsid w:val="00357026"/>
    <w:rsid w:val="00370D6F"/>
    <w:rsid w:val="00371C1D"/>
    <w:rsid w:val="00372DFE"/>
    <w:rsid w:val="003773FA"/>
    <w:rsid w:val="003775EE"/>
    <w:rsid w:val="00380A81"/>
    <w:rsid w:val="003A76CD"/>
    <w:rsid w:val="003C40F1"/>
    <w:rsid w:val="003C5713"/>
    <w:rsid w:val="003C599B"/>
    <w:rsid w:val="003D0B31"/>
    <w:rsid w:val="003E222C"/>
    <w:rsid w:val="003F13A7"/>
    <w:rsid w:val="003F3CBD"/>
    <w:rsid w:val="003F4291"/>
    <w:rsid w:val="004051F7"/>
    <w:rsid w:val="004170EF"/>
    <w:rsid w:val="004244F0"/>
    <w:rsid w:val="00435F6E"/>
    <w:rsid w:val="00451898"/>
    <w:rsid w:val="00452D85"/>
    <w:rsid w:val="004B04A2"/>
    <w:rsid w:val="004B6350"/>
    <w:rsid w:val="004C08F1"/>
    <w:rsid w:val="004C6B0E"/>
    <w:rsid w:val="004F079F"/>
    <w:rsid w:val="004F2224"/>
    <w:rsid w:val="004F4A0F"/>
    <w:rsid w:val="004F6DA8"/>
    <w:rsid w:val="00501879"/>
    <w:rsid w:val="005113D2"/>
    <w:rsid w:val="00516002"/>
    <w:rsid w:val="00520469"/>
    <w:rsid w:val="00521814"/>
    <w:rsid w:val="00533E19"/>
    <w:rsid w:val="00537A22"/>
    <w:rsid w:val="005509FD"/>
    <w:rsid w:val="00550F64"/>
    <w:rsid w:val="00553052"/>
    <w:rsid w:val="00581554"/>
    <w:rsid w:val="005863DE"/>
    <w:rsid w:val="005863EC"/>
    <w:rsid w:val="00590ECB"/>
    <w:rsid w:val="00594900"/>
    <w:rsid w:val="005A09F5"/>
    <w:rsid w:val="005D64A6"/>
    <w:rsid w:val="005D6676"/>
    <w:rsid w:val="005D677B"/>
    <w:rsid w:val="006104EF"/>
    <w:rsid w:val="0061393A"/>
    <w:rsid w:val="00625D7C"/>
    <w:rsid w:val="006336A0"/>
    <w:rsid w:val="006411BE"/>
    <w:rsid w:val="006428C0"/>
    <w:rsid w:val="006608FE"/>
    <w:rsid w:val="006729E0"/>
    <w:rsid w:val="00683357"/>
    <w:rsid w:val="006910CD"/>
    <w:rsid w:val="006B3C32"/>
    <w:rsid w:val="006C01B2"/>
    <w:rsid w:val="006C05F1"/>
    <w:rsid w:val="006E1378"/>
    <w:rsid w:val="006E5862"/>
    <w:rsid w:val="006F569C"/>
    <w:rsid w:val="006F7968"/>
    <w:rsid w:val="0070140D"/>
    <w:rsid w:val="00711544"/>
    <w:rsid w:val="0071558A"/>
    <w:rsid w:val="0071735A"/>
    <w:rsid w:val="00735BAC"/>
    <w:rsid w:val="00757BBD"/>
    <w:rsid w:val="007601C2"/>
    <w:rsid w:val="00764247"/>
    <w:rsid w:val="00771D57"/>
    <w:rsid w:val="0077429E"/>
    <w:rsid w:val="00775BCA"/>
    <w:rsid w:val="00784B77"/>
    <w:rsid w:val="00793C19"/>
    <w:rsid w:val="00795ED2"/>
    <w:rsid w:val="007A608D"/>
    <w:rsid w:val="007B7BD6"/>
    <w:rsid w:val="007C0155"/>
    <w:rsid w:val="007E16C2"/>
    <w:rsid w:val="007E4DA7"/>
    <w:rsid w:val="007F64FD"/>
    <w:rsid w:val="0080205E"/>
    <w:rsid w:val="00812484"/>
    <w:rsid w:val="008307C5"/>
    <w:rsid w:val="00845755"/>
    <w:rsid w:val="00846661"/>
    <w:rsid w:val="00850288"/>
    <w:rsid w:val="00857D9F"/>
    <w:rsid w:val="00861B9E"/>
    <w:rsid w:val="00863D75"/>
    <w:rsid w:val="00866D35"/>
    <w:rsid w:val="008676B8"/>
    <w:rsid w:val="008739F9"/>
    <w:rsid w:val="008A196A"/>
    <w:rsid w:val="008A2D5F"/>
    <w:rsid w:val="008B3F3C"/>
    <w:rsid w:val="008C0D32"/>
    <w:rsid w:val="008C1614"/>
    <w:rsid w:val="008C788C"/>
    <w:rsid w:val="008D4B16"/>
    <w:rsid w:val="008E56D3"/>
    <w:rsid w:val="00904D53"/>
    <w:rsid w:val="00912D49"/>
    <w:rsid w:val="00930126"/>
    <w:rsid w:val="009347D0"/>
    <w:rsid w:val="009366E0"/>
    <w:rsid w:val="00941AD7"/>
    <w:rsid w:val="00950AC9"/>
    <w:rsid w:val="00952767"/>
    <w:rsid w:val="0097338C"/>
    <w:rsid w:val="009743DB"/>
    <w:rsid w:val="00980FCB"/>
    <w:rsid w:val="0098180F"/>
    <w:rsid w:val="00984728"/>
    <w:rsid w:val="009924C1"/>
    <w:rsid w:val="00997787"/>
    <w:rsid w:val="009A2BF6"/>
    <w:rsid w:val="009B0FAA"/>
    <w:rsid w:val="009B372E"/>
    <w:rsid w:val="009B3DFF"/>
    <w:rsid w:val="009C6D96"/>
    <w:rsid w:val="009E03F7"/>
    <w:rsid w:val="009E35D6"/>
    <w:rsid w:val="009E7245"/>
    <w:rsid w:val="009F2088"/>
    <w:rsid w:val="009F47DE"/>
    <w:rsid w:val="00A00935"/>
    <w:rsid w:val="00A07726"/>
    <w:rsid w:val="00A1192E"/>
    <w:rsid w:val="00A17EA8"/>
    <w:rsid w:val="00A31068"/>
    <w:rsid w:val="00A41194"/>
    <w:rsid w:val="00A55F25"/>
    <w:rsid w:val="00A65F7A"/>
    <w:rsid w:val="00A67F4E"/>
    <w:rsid w:val="00A712AD"/>
    <w:rsid w:val="00A7305A"/>
    <w:rsid w:val="00A74D5B"/>
    <w:rsid w:val="00A77725"/>
    <w:rsid w:val="00A82535"/>
    <w:rsid w:val="00A84A86"/>
    <w:rsid w:val="00A9481B"/>
    <w:rsid w:val="00AA5F8C"/>
    <w:rsid w:val="00AB155B"/>
    <w:rsid w:val="00AF2FD7"/>
    <w:rsid w:val="00B05448"/>
    <w:rsid w:val="00B41069"/>
    <w:rsid w:val="00B41B80"/>
    <w:rsid w:val="00B42BDC"/>
    <w:rsid w:val="00B827E1"/>
    <w:rsid w:val="00B85213"/>
    <w:rsid w:val="00B8615B"/>
    <w:rsid w:val="00B9782E"/>
    <w:rsid w:val="00BC1A84"/>
    <w:rsid w:val="00BD0725"/>
    <w:rsid w:val="00BD0F2B"/>
    <w:rsid w:val="00BE271C"/>
    <w:rsid w:val="00BF1FFC"/>
    <w:rsid w:val="00BF7287"/>
    <w:rsid w:val="00BF77DA"/>
    <w:rsid w:val="00C02634"/>
    <w:rsid w:val="00C02B5B"/>
    <w:rsid w:val="00C24451"/>
    <w:rsid w:val="00C252B3"/>
    <w:rsid w:val="00C31A42"/>
    <w:rsid w:val="00C42636"/>
    <w:rsid w:val="00C45DB4"/>
    <w:rsid w:val="00C57C77"/>
    <w:rsid w:val="00C85A01"/>
    <w:rsid w:val="00C91399"/>
    <w:rsid w:val="00C92101"/>
    <w:rsid w:val="00C9218C"/>
    <w:rsid w:val="00C97625"/>
    <w:rsid w:val="00CA6C65"/>
    <w:rsid w:val="00CA6D7B"/>
    <w:rsid w:val="00CC72CF"/>
    <w:rsid w:val="00CD773E"/>
    <w:rsid w:val="00CE723D"/>
    <w:rsid w:val="00CF6891"/>
    <w:rsid w:val="00D00C77"/>
    <w:rsid w:val="00D02A50"/>
    <w:rsid w:val="00D137F9"/>
    <w:rsid w:val="00D13BE0"/>
    <w:rsid w:val="00D233C0"/>
    <w:rsid w:val="00D36075"/>
    <w:rsid w:val="00D40048"/>
    <w:rsid w:val="00D40696"/>
    <w:rsid w:val="00D45349"/>
    <w:rsid w:val="00D504D6"/>
    <w:rsid w:val="00D57F0A"/>
    <w:rsid w:val="00D92ACF"/>
    <w:rsid w:val="00D96032"/>
    <w:rsid w:val="00DA46EF"/>
    <w:rsid w:val="00DB0A46"/>
    <w:rsid w:val="00DB71CD"/>
    <w:rsid w:val="00DC158A"/>
    <w:rsid w:val="00DC70D5"/>
    <w:rsid w:val="00DD7583"/>
    <w:rsid w:val="00DE5380"/>
    <w:rsid w:val="00DF06FD"/>
    <w:rsid w:val="00DF6E3C"/>
    <w:rsid w:val="00E008A1"/>
    <w:rsid w:val="00E02682"/>
    <w:rsid w:val="00E044E1"/>
    <w:rsid w:val="00E16F31"/>
    <w:rsid w:val="00E3019F"/>
    <w:rsid w:val="00E34B16"/>
    <w:rsid w:val="00E530FA"/>
    <w:rsid w:val="00E542D2"/>
    <w:rsid w:val="00E542E4"/>
    <w:rsid w:val="00E600CE"/>
    <w:rsid w:val="00E60C92"/>
    <w:rsid w:val="00E71C21"/>
    <w:rsid w:val="00E76EAF"/>
    <w:rsid w:val="00E91CC5"/>
    <w:rsid w:val="00E92A86"/>
    <w:rsid w:val="00EA7963"/>
    <w:rsid w:val="00ED0A00"/>
    <w:rsid w:val="00ED3981"/>
    <w:rsid w:val="00ED7629"/>
    <w:rsid w:val="00EE740B"/>
    <w:rsid w:val="00EE7DD7"/>
    <w:rsid w:val="00EF1858"/>
    <w:rsid w:val="00EF4B0C"/>
    <w:rsid w:val="00F15DC9"/>
    <w:rsid w:val="00F17963"/>
    <w:rsid w:val="00F31CD6"/>
    <w:rsid w:val="00F50B8B"/>
    <w:rsid w:val="00F5206F"/>
    <w:rsid w:val="00F52330"/>
    <w:rsid w:val="00F60DF8"/>
    <w:rsid w:val="00F76354"/>
    <w:rsid w:val="00F83A79"/>
    <w:rsid w:val="00F842D8"/>
    <w:rsid w:val="00F854CA"/>
    <w:rsid w:val="00FB058B"/>
    <w:rsid w:val="00FB0B1D"/>
    <w:rsid w:val="00FD1473"/>
    <w:rsid w:val="00FD58D9"/>
    <w:rsid w:val="00FD6FCC"/>
    <w:rsid w:val="00FE0A53"/>
    <w:rsid w:val="00FE71CD"/>
    <w:rsid w:val="069B0822"/>
    <w:rsid w:val="087F483D"/>
    <w:rsid w:val="14150874"/>
    <w:rsid w:val="148B035F"/>
    <w:rsid w:val="196E5866"/>
    <w:rsid w:val="1C614DB1"/>
    <w:rsid w:val="20C32127"/>
    <w:rsid w:val="4DA50C8B"/>
    <w:rsid w:val="4E1365D8"/>
    <w:rsid w:val="4E6F434B"/>
    <w:rsid w:val="523A3D09"/>
    <w:rsid w:val="54D366E5"/>
    <w:rsid w:val="5C7C6244"/>
    <w:rsid w:val="5F8F099B"/>
    <w:rsid w:val="646D48D2"/>
    <w:rsid w:val="711901E7"/>
    <w:rsid w:val="73AE4B78"/>
    <w:rsid w:val="75DF341B"/>
    <w:rsid w:val="7B4A18E8"/>
    <w:rsid w:val="7C395C8C"/>
    <w:rsid w:val="7DB1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60" w:after="260" w:line="416" w:lineRule="auto"/>
      <w:jc w:val="center"/>
      <w:outlineLvl w:val="1"/>
    </w:pPr>
    <w:rPr>
      <w:rFonts w:ascii="Cambria" w:hAnsi="Cambria"/>
      <w:b/>
      <w:bCs/>
      <w:sz w:val="36"/>
      <w:szCs w:val="32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21">
    <w:name w:val="Default Paragraph Font"/>
    <w:semiHidden/>
    <w:uiPriority w:val="99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semiHidden/>
    <w:uiPriority w:val="99"/>
    <w:pPr>
      <w:shd w:val="clear" w:color="auto" w:fill="000080"/>
    </w:pPr>
  </w:style>
  <w:style w:type="paragraph" w:styleId="6">
    <w:name w:val="annotation text"/>
    <w:basedOn w:val="1"/>
    <w:link w:val="29"/>
    <w:qFormat/>
    <w:uiPriority w:val="99"/>
    <w:pPr>
      <w:jc w:val="left"/>
    </w:pPr>
    <w:rPr>
      <w:rFonts w:ascii="Calibri" w:hAnsi="Calibri"/>
      <w:szCs w:val="22"/>
    </w:rPr>
  </w:style>
  <w:style w:type="paragraph" w:styleId="7">
    <w:name w:val="Body Text Indent"/>
    <w:basedOn w:val="1"/>
    <w:link w:val="30"/>
    <w:qFormat/>
    <w:uiPriority w:val="99"/>
    <w:pPr>
      <w:spacing w:after="120"/>
      <w:ind w:left="420" w:leftChars="200"/>
    </w:pPr>
    <w:rPr>
      <w:lang w:val="zh-CN"/>
    </w:rPr>
  </w:style>
  <w:style w:type="paragraph" w:styleId="8">
    <w:name w:val="Plain Text"/>
    <w:basedOn w:val="1"/>
    <w:link w:val="31"/>
    <w:qFormat/>
    <w:uiPriority w:val="99"/>
    <w:rPr>
      <w:rFonts w:ascii="宋体" w:hAnsi="Courier New" w:cs="Courier New"/>
      <w:szCs w:val="21"/>
    </w:rPr>
  </w:style>
  <w:style w:type="paragraph" w:styleId="9">
    <w:name w:val="Date"/>
    <w:basedOn w:val="1"/>
    <w:next w:val="1"/>
    <w:link w:val="32"/>
    <w:qFormat/>
    <w:uiPriority w:val="99"/>
    <w:rPr>
      <w:rFonts w:ascii="宋体"/>
      <w:sz w:val="24"/>
    </w:rPr>
  </w:style>
  <w:style w:type="paragraph" w:styleId="10">
    <w:name w:val="Body Text Indent 2"/>
    <w:basedOn w:val="1"/>
    <w:link w:val="33"/>
    <w:qFormat/>
    <w:uiPriority w:val="99"/>
    <w:pPr>
      <w:spacing w:after="120" w:line="480" w:lineRule="auto"/>
      <w:ind w:left="420" w:leftChars="200"/>
    </w:pPr>
    <w:rPr>
      <w:rFonts w:ascii="Calibri" w:hAnsi="Calibri"/>
      <w:szCs w:val="22"/>
    </w:rPr>
  </w:style>
  <w:style w:type="paragraph" w:styleId="11">
    <w:name w:val="Balloon Text"/>
    <w:basedOn w:val="1"/>
    <w:link w:val="34"/>
    <w:semiHidden/>
    <w:qFormat/>
    <w:uiPriority w:val="99"/>
    <w:rPr>
      <w:sz w:val="18"/>
      <w:szCs w:val="18"/>
    </w:rPr>
  </w:style>
  <w:style w:type="paragraph" w:styleId="12">
    <w:name w:val="footer"/>
    <w:basedOn w:val="1"/>
    <w:link w:val="3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link w:val="3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99"/>
    <w:pPr>
      <w:spacing w:line="360" w:lineRule="auto"/>
    </w:pPr>
    <w:rPr>
      <w:rFonts w:ascii="Calibri" w:hAnsi="Calibri"/>
      <w:sz w:val="24"/>
      <w:szCs w:val="22"/>
    </w:rPr>
  </w:style>
  <w:style w:type="paragraph" w:styleId="15">
    <w:name w:val="Body Text Indent 3"/>
    <w:basedOn w:val="1"/>
    <w:link w:val="37"/>
    <w:qFormat/>
    <w:uiPriority w:val="99"/>
    <w:pPr>
      <w:spacing w:after="120"/>
      <w:ind w:left="420" w:leftChars="200"/>
    </w:pPr>
    <w:rPr>
      <w:kern w:val="0"/>
      <w:sz w:val="16"/>
      <w:szCs w:val="16"/>
    </w:rPr>
  </w:style>
  <w:style w:type="paragraph" w:styleId="16">
    <w:name w:val="toc 2"/>
    <w:basedOn w:val="1"/>
    <w:next w:val="1"/>
    <w:qFormat/>
    <w:uiPriority w:val="99"/>
    <w:pPr>
      <w:spacing w:line="360" w:lineRule="auto"/>
      <w:ind w:left="420" w:leftChars="200"/>
    </w:pPr>
    <w:rPr>
      <w:rFonts w:ascii="Calibri" w:hAnsi="Calibri"/>
      <w:sz w:val="24"/>
      <w:szCs w:val="22"/>
    </w:rPr>
  </w:style>
  <w:style w:type="paragraph" w:styleId="17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18">
    <w:name w:val="annotation subject"/>
    <w:basedOn w:val="6"/>
    <w:next w:val="6"/>
    <w:link w:val="38"/>
    <w:qFormat/>
    <w:uiPriority w:val="99"/>
    <w:rPr>
      <w:b/>
      <w:bCs/>
    </w:rPr>
  </w:style>
  <w:style w:type="table" w:styleId="20">
    <w:name w:val="Table Grid"/>
    <w:basedOn w:val="19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page number"/>
    <w:basedOn w:val="21"/>
    <w:qFormat/>
    <w:uiPriority w:val="99"/>
    <w:rPr>
      <w:rFonts w:cs="Times New Roman"/>
    </w:rPr>
  </w:style>
  <w:style w:type="character" w:styleId="23">
    <w:name w:val="Hyperlink"/>
    <w:basedOn w:val="21"/>
    <w:qFormat/>
    <w:uiPriority w:val="99"/>
    <w:rPr>
      <w:rFonts w:cs="Times New Roman"/>
      <w:color w:val="0000FF"/>
      <w:u w:val="single"/>
    </w:rPr>
  </w:style>
  <w:style w:type="character" w:styleId="24">
    <w:name w:val="annotation reference"/>
    <w:basedOn w:val="21"/>
    <w:qFormat/>
    <w:uiPriority w:val="99"/>
    <w:rPr>
      <w:rFonts w:cs="Times New Roman"/>
      <w:sz w:val="21"/>
      <w:szCs w:val="21"/>
    </w:rPr>
  </w:style>
  <w:style w:type="character" w:customStyle="1" w:styleId="25">
    <w:name w:val="Heading 1 Char"/>
    <w:basedOn w:val="21"/>
    <w:link w:val="2"/>
    <w:locked/>
    <w:uiPriority w:val="9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6">
    <w:name w:val="Heading 2 Char"/>
    <w:basedOn w:val="21"/>
    <w:link w:val="3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7">
    <w:name w:val="Heading 3 Char"/>
    <w:basedOn w:val="21"/>
    <w:link w:val="4"/>
    <w:locked/>
    <w:uiPriority w:val="9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8">
    <w:name w:val="Document Map Char"/>
    <w:basedOn w:val="21"/>
    <w:link w:val="5"/>
    <w:semiHidden/>
    <w:qFormat/>
    <w:locked/>
    <w:uiPriority w:val="99"/>
    <w:rPr>
      <w:rFonts w:ascii="Times New Roman" w:hAnsi="Times New Roman" w:eastAsia="宋体" w:cs="Times New Roman"/>
      <w:sz w:val="20"/>
      <w:szCs w:val="20"/>
      <w:shd w:val="clear" w:color="auto" w:fill="000080"/>
    </w:rPr>
  </w:style>
  <w:style w:type="character" w:customStyle="1" w:styleId="29">
    <w:name w:val="Comment Text Char"/>
    <w:basedOn w:val="21"/>
    <w:link w:val="6"/>
    <w:qFormat/>
    <w:locked/>
    <w:uiPriority w:val="99"/>
    <w:rPr>
      <w:rFonts w:ascii="Calibri" w:hAnsi="Calibri" w:eastAsia="宋体" w:cs="Times New Roman"/>
    </w:rPr>
  </w:style>
  <w:style w:type="character" w:customStyle="1" w:styleId="30">
    <w:name w:val="Body Text Indent Char"/>
    <w:basedOn w:val="21"/>
    <w:link w:val="7"/>
    <w:qFormat/>
    <w:locked/>
    <w:uiPriority w:val="99"/>
    <w:rPr>
      <w:rFonts w:ascii="Times New Roman" w:hAnsi="Times New Roman" w:eastAsia="宋体" w:cs="Times New Roman"/>
      <w:sz w:val="20"/>
      <w:szCs w:val="20"/>
      <w:lang w:val="zh-CN" w:eastAsia="zh-CN"/>
    </w:rPr>
  </w:style>
  <w:style w:type="character" w:customStyle="1" w:styleId="31">
    <w:name w:val="Plain Text Char"/>
    <w:basedOn w:val="21"/>
    <w:link w:val="8"/>
    <w:qFormat/>
    <w:locked/>
    <w:uiPriority w:val="99"/>
    <w:rPr>
      <w:rFonts w:ascii="宋体" w:hAnsi="Courier New" w:eastAsia="宋体" w:cs="Courier New"/>
      <w:sz w:val="21"/>
      <w:szCs w:val="21"/>
    </w:rPr>
  </w:style>
  <w:style w:type="character" w:customStyle="1" w:styleId="32">
    <w:name w:val="Date Char"/>
    <w:basedOn w:val="21"/>
    <w:link w:val="9"/>
    <w:qFormat/>
    <w:locked/>
    <w:uiPriority w:val="99"/>
    <w:rPr>
      <w:rFonts w:ascii="宋体" w:hAnsi="Times New Roman" w:eastAsia="宋体" w:cs="Times New Roman"/>
      <w:sz w:val="20"/>
      <w:szCs w:val="20"/>
    </w:rPr>
  </w:style>
  <w:style w:type="character" w:customStyle="1" w:styleId="33">
    <w:name w:val="Body Text Indent 2 Char"/>
    <w:basedOn w:val="21"/>
    <w:link w:val="10"/>
    <w:qFormat/>
    <w:locked/>
    <w:uiPriority w:val="99"/>
  </w:style>
  <w:style w:type="character" w:customStyle="1" w:styleId="34">
    <w:name w:val="Balloon Text Char"/>
    <w:basedOn w:val="21"/>
    <w:link w:val="11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Footer Char"/>
    <w:basedOn w:val="21"/>
    <w:link w:val="12"/>
    <w:qFormat/>
    <w:locked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36">
    <w:name w:val="Header Char"/>
    <w:basedOn w:val="21"/>
    <w:link w:val="13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Body Text Indent 3 Char"/>
    <w:basedOn w:val="21"/>
    <w:link w:val="15"/>
    <w:qFormat/>
    <w:locked/>
    <w:uiPriority w:val="99"/>
    <w:rPr>
      <w:sz w:val="16"/>
    </w:rPr>
  </w:style>
  <w:style w:type="character" w:customStyle="1" w:styleId="38">
    <w:name w:val="Comment Subject Char"/>
    <w:basedOn w:val="29"/>
    <w:link w:val="18"/>
    <w:qFormat/>
    <w:locked/>
    <w:uiPriority w:val="99"/>
    <w:rPr>
      <w:b/>
      <w:bCs/>
    </w:rPr>
  </w:style>
  <w:style w:type="paragraph" w:customStyle="1" w:styleId="39">
    <w:name w:val="样式 标题一 副标题 + 居中"/>
    <w:basedOn w:val="1"/>
    <w:qFormat/>
    <w:uiPriority w:val="99"/>
    <w:pPr>
      <w:tabs>
        <w:tab w:val="left" w:pos="720"/>
        <w:tab w:val="left" w:pos="7740"/>
      </w:tabs>
      <w:spacing w:after="240" w:line="240" w:lineRule="atLeast"/>
      <w:ind w:left="357" w:firstLine="150" w:firstLineChars="150"/>
      <w:jc w:val="left"/>
    </w:pPr>
    <w:rPr>
      <w:rFonts w:ascii="宋体" w:eastAsia="黑体"/>
      <w:kern w:val="0"/>
      <w:sz w:val="44"/>
    </w:rPr>
  </w:style>
  <w:style w:type="paragraph" w:customStyle="1" w:styleId="40">
    <w:name w:val="1"/>
    <w:basedOn w:val="1"/>
    <w:next w:val="7"/>
    <w:qFormat/>
    <w:uiPriority w:val="99"/>
    <w:pPr>
      <w:snapToGrid w:val="0"/>
      <w:spacing w:line="560" w:lineRule="atLeast"/>
      <w:ind w:firstLine="630"/>
    </w:pPr>
    <w:rPr>
      <w:sz w:val="31"/>
    </w:rPr>
  </w:style>
  <w:style w:type="character" w:customStyle="1" w:styleId="41">
    <w:name w:val="Char"/>
    <w:qFormat/>
    <w:uiPriority w:val="99"/>
    <w:rPr>
      <w:rFonts w:eastAsia="宋体"/>
      <w:kern w:val="2"/>
      <w:sz w:val="31"/>
      <w:lang w:val="en-US" w:eastAsia="zh-CN"/>
    </w:rPr>
  </w:style>
  <w:style w:type="paragraph" w:styleId="42">
    <w:name w:val="List Paragraph"/>
    <w:basedOn w:val="1"/>
    <w:qFormat/>
    <w:uiPriority w:val="99"/>
    <w:pPr>
      <w:spacing w:line="360" w:lineRule="auto"/>
      <w:ind w:firstLine="420" w:firstLineChars="200"/>
    </w:pPr>
    <w:rPr>
      <w:rFonts w:ascii="Calibri" w:hAnsi="Calibri"/>
      <w:sz w:val="24"/>
      <w:szCs w:val="22"/>
    </w:rPr>
  </w:style>
  <w:style w:type="character" w:customStyle="1" w:styleId="43">
    <w:name w:val="正文文本缩进 2 Char1"/>
    <w:basedOn w:val="21"/>
    <w:qFormat/>
    <w:uiPriority w:val="99"/>
    <w:rPr>
      <w:rFonts w:ascii="Times New Roman" w:hAnsi="Times New Roman" w:eastAsia="宋体" w:cs="Times New Roman"/>
      <w:sz w:val="20"/>
      <w:szCs w:val="20"/>
    </w:rPr>
  </w:style>
  <w:style w:type="character" w:customStyle="1" w:styleId="44">
    <w:name w:val="正文文本缩进 3 Char1"/>
    <w:basedOn w:val="21"/>
    <w:qFormat/>
    <w:uiPriority w:val="99"/>
    <w:rPr>
      <w:rFonts w:ascii="Times New Roman" w:hAnsi="Times New Roman" w:eastAsia="宋体" w:cs="Times New Roman"/>
      <w:sz w:val="16"/>
      <w:szCs w:val="16"/>
    </w:rPr>
  </w:style>
  <w:style w:type="paragraph" w:customStyle="1" w:styleId="45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46">
    <w:name w:val="TOC Heading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7">
    <w:name w:val="Revision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Lenovo</Company>
  <Pages>9</Pages>
  <Words>1135</Words>
  <Characters>6473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2021-06-06T22:17:00Z</dcterms:created>
  <dc:creator>lenovo</dc:creator>
  <cp:lastModifiedBy>liangsui</cp:lastModifiedBy>
  <dcterms:modified xsi:type="dcterms:W3CDTF">2021-08-31T10:39:38Z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8E456BAE768549EDAD71CC11B79EF147</vt:lpwstr>
  </property>
</Properties>
</file>