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ascii="仿宋_GB2312" w:hAnsi="宋体" w:eastAsia="仿宋_GB2312"/>
          <w:b/>
          <w:color w:val="000000"/>
          <w:sz w:val="36"/>
          <w:szCs w:val="36"/>
        </w:rPr>
      </w:pPr>
      <w:r>
        <w:rPr>
          <w:rFonts w:hint="eastAsia" w:ascii="仿宋_GB2312" w:hAnsi="宋体" w:eastAsia="仿宋_GB2312"/>
          <w:b/>
          <w:color w:val="000000"/>
          <w:sz w:val="36"/>
          <w:szCs w:val="36"/>
        </w:rPr>
        <w:t>中山大学计算机学院</w:t>
      </w:r>
    </w:p>
    <w:p>
      <w:pPr>
        <w:widowControl/>
        <w:snapToGrid w:val="0"/>
        <w:jc w:val="center"/>
        <w:rPr>
          <w:rFonts w:ascii="仿宋_GB2312" w:hAnsi="宋体" w:eastAsia="仿宋_GB2312"/>
          <w:b/>
          <w:color w:val="000000"/>
          <w:sz w:val="32"/>
          <w:szCs w:val="32"/>
        </w:rPr>
      </w:pPr>
      <w:r>
        <w:rPr>
          <w:rFonts w:hint="eastAsia" w:ascii="仿宋_GB2312" w:hAnsi="宋体" w:eastAsia="仿宋_GB2312"/>
          <w:b/>
          <w:color w:val="000000"/>
          <w:sz w:val="32"/>
          <w:szCs w:val="32"/>
        </w:rPr>
        <w:t>计算机科学与技术（一级学科、工学）（</w:t>
      </w:r>
      <w:r>
        <w:rPr>
          <w:rFonts w:ascii="仿宋_GB2312" w:hAnsi="宋体" w:eastAsia="仿宋_GB2312"/>
          <w:b/>
          <w:color w:val="000000"/>
          <w:sz w:val="32"/>
          <w:szCs w:val="32"/>
        </w:rPr>
        <w:t>081200</w:t>
      </w:r>
      <w:r>
        <w:rPr>
          <w:rFonts w:hint="eastAsia" w:ascii="仿宋_GB2312" w:hAnsi="宋体" w:eastAsia="仿宋_GB2312"/>
          <w:b/>
          <w:color w:val="000000"/>
          <w:sz w:val="32"/>
          <w:szCs w:val="32"/>
        </w:rPr>
        <w:t>）</w:t>
      </w:r>
    </w:p>
    <w:p>
      <w:pPr>
        <w:widowControl/>
        <w:snapToGrid w:val="0"/>
        <w:jc w:val="center"/>
        <w:rPr>
          <w:rFonts w:ascii="仿宋_GB2312" w:hAnsi="宋体" w:eastAsia="仿宋_GB2312"/>
          <w:b/>
          <w:color w:val="000000"/>
          <w:sz w:val="32"/>
          <w:szCs w:val="32"/>
        </w:rPr>
      </w:pPr>
      <w:r>
        <w:rPr>
          <w:rFonts w:hint="eastAsia" w:ascii="仿宋_GB2312" w:hAnsi="宋体" w:eastAsia="仿宋_GB2312"/>
          <w:b/>
          <w:color w:val="000000"/>
          <w:sz w:val="32"/>
          <w:szCs w:val="32"/>
        </w:rPr>
        <w:t>硕士研究生培养方案</w:t>
      </w:r>
    </w:p>
    <w:p>
      <w:pPr>
        <w:snapToGrid w:val="0"/>
        <w:spacing w:line="360" w:lineRule="auto"/>
        <w:jc w:val="center"/>
        <w:rPr>
          <w:rFonts w:ascii="仿宋_GB2312" w:hAnsi="宋体" w:eastAsia="仿宋_GB2312"/>
          <w:b/>
          <w:sz w:val="32"/>
          <w:szCs w:val="32"/>
        </w:rPr>
      </w:pPr>
      <w:r>
        <w:rPr>
          <w:rFonts w:hint="eastAsia" w:ascii="仿宋_GB2312" w:eastAsia="仿宋_GB2312"/>
          <w:color w:val="000000"/>
          <w:sz w:val="32"/>
          <w:szCs w:val="28"/>
        </w:rPr>
        <w:t>（从</w:t>
      </w:r>
      <w:r>
        <w:rPr>
          <w:rFonts w:ascii="仿宋_GB2312" w:eastAsia="仿宋_GB2312"/>
          <w:color w:val="000000"/>
          <w:sz w:val="32"/>
          <w:szCs w:val="28"/>
        </w:rPr>
        <w:t>2021</w:t>
      </w:r>
      <w:r>
        <w:rPr>
          <w:rFonts w:hint="eastAsia" w:ascii="仿宋_GB2312" w:eastAsia="仿宋_GB2312"/>
          <w:color w:val="000000"/>
          <w:sz w:val="32"/>
          <w:szCs w:val="28"/>
        </w:rPr>
        <w:t>年级开始执行）</w:t>
      </w:r>
    </w:p>
    <w:p>
      <w:pPr>
        <w:spacing w:line="500" w:lineRule="exact"/>
        <w:rPr>
          <w:rFonts w:ascii="仿宋_GB2312" w:hAnsi="宋体" w:eastAsia="仿宋_GB2312"/>
          <w:b/>
          <w:sz w:val="32"/>
          <w:szCs w:val="32"/>
        </w:rPr>
      </w:pPr>
      <w:r>
        <w:rPr>
          <w:rFonts w:hint="eastAsia" w:ascii="仿宋_GB2312" w:hAnsi="宋体" w:eastAsia="仿宋_GB2312"/>
          <w:b/>
          <w:sz w:val="32"/>
          <w:szCs w:val="32"/>
        </w:rPr>
        <w:t>一、学科介绍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学科以立德树人为根本，坚持理工结合，聚焦科技前沿和国家战略，服务经济与产业。学科现有国家科技部高性能计算领域创新团队和国家级各类人才十余名，拥有国家超级计算广州中心等十余个国家级和省部级教研平台，融合高性能计算、人工智能与大数据、计算数学等学科方向，汇聚优质教学资源，形成了完善的研究生培养体系。</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二、培养目标</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以习近平新时代中国特色社会主义思想为指导，全面贯彻党的教育方针，以立德树人为根本，以理想信念教育为核心，</w:t>
      </w:r>
      <w:r>
        <w:rPr>
          <w:rFonts w:hint="eastAsia" w:eastAsia="仿宋_GB2312"/>
          <w:sz w:val="28"/>
          <w:szCs w:val="28"/>
        </w:rPr>
        <w:t>聚焦国家重大战略、经济社会需求和科学技术前沿，支持战略性新兴学科发展，</w:t>
      </w:r>
      <w:r>
        <w:rPr>
          <w:rFonts w:hint="eastAsia" w:ascii="仿宋_GB2312" w:hAnsi="宋体" w:eastAsia="仿宋_GB2312"/>
          <w:sz w:val="28"/>
          <w:szCs w:val="28"/>
        </w:rPr>
        <w:t>培养德智体美劳全面发展，具有社会责任感和创新精神的高层次人才。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要求学生基本掌握马列主义、毛泽东思想和邓小平理论，热爱祖国，遵纪守法，具有高尚的学术道德、具有高度的敬业精神和严谨的工作态度；具</w:t>
      </w:r>
      <w:r>
        <w:rPr>
          <w:rFonts w:hint="eastAsia" w:eastAsia="仿宋_GB2312"/>
          <w:sz w:val="28"/>
          <w:szCs w:val="28"/>
        </w:rPr>
        <w:t>有坚实的理论基础，扎实</w:t>
      </w:r>
      <w:r>
        <w:rPr>
          <w:rFonts w:hint="eastAsia" w:ascii="仿宋_GB2312" w:hAnsi="宋体" w:eastAsia="仿宋_GB2312"/>
          <w:sz w:val="28"/>
          <w:szCs w:val="28"/>
        </w:rPr>
        <w:t>掌握计算机科学与技术专业知识，熟练掌握一门外国语；熟悉计算机科学与技术发展的前沿和动态，具有良好的创新意识和创新思维能力、计算机软及应用系统的分析设计能力；能够综合运用计算机学科的方法和技术分析解决较复杂的实际问题；具备从事计算机及相关领域的科学研究和教学工作的能力，具备承担大型计算机软硬件及应用系统的研发与管理工作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三、学制与学习年限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学制为三年；每学年由两个学期组成。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不能按期完成学业者，须按学籍管理的有关规定提出申请，经批准方可延长学习年限，每次申请延长学习时间不得超过一年，总学习年限不得超过五年。凡未提出申请或申请未获批准而超期者，按自动退学处理。</w:t>
      </w:r>
    </w:p>
    <w:p>
      <w:pPr>
        <w:widowControl/>
        <w:jc w:val="left"/>
      </w:pPr>
    </w:p>
    <w:p>
      <w:pPr>
        <w:spacing w:line="500" w:lineRule="exact"/>
        <w:rPr>
          <w:rFonts w:ascii="仿宋_GB2312" w:hAnsi="宋体" w:eastAsia="仿宋_GB2312"/>
          <w:b/>
          <w:sz w:val="32"/>
          <w:szCs w:val="32"/>
        </w:rPr>
      </w:pPr>
      <w:r>
        <w:rPr>
          <w:rFonts w:hint="eastAsia" w:ascii="仿宋_GB2312" w:hAnsi="宋体" w:eastAsia="仿宋_GB2312"/>
          <w:b/>
          <w:sz w:val="32"/>
          <w:szCs w:val="32"/>
        </w:rPr>
        <w:t>四、研究方向</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本方案适用于以下学科方向：</w:t>
      </w:r>
      <w:r>
        <w:rPr>
          <w:rFonts w:ascii="仿宋_GB2312" w:hAnsi="宋体" w:eastAsia="仿宋_GB2312"/>
          <w:sz w:val="28"/>
          <w:szCs w:val="28"/>
        </w:rPr>
        <w:t xml:space="preserve"> </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．计算机系统结构</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计算机系统设计、高性能计算、计算机网络、分布式系统、嵌入式系统、实时系统、云计算、边缘计算、智能物联网等。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．计算机软件与理论</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计算机科学理论、量子计算、软件理论、软件设计与验证、软件过程方法、系统软件与中间件等。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．计算机应用</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计算机图形学、人机交互与普适计算、多媒体信息处理、区块链技术、可视化技术等。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．人工智能与大数据</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机器学习、计算智能、数据挖掘、计算机视觉、自然语言处理、智能控制、无人系统等。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．网络与信息安全</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网络安全、安全与可信计算、信息系统安全、数字媒体内容安全、云数据安全等。</w:t>
      </w:r>
    </w:p>
    <w:p>
      <w:pPr>
        <w:adjustRightInd w:val="0"/>
        <w:snapToGrid w:val="0"/>
        <w:spacing w:line="500" w:lineRule="exact"/>
        <w:ind w:firstLine="560" w:firstLineChars="200"/>
        <w:jc w:val="left"/>
        <w:rPr>
          <w:rFonts w:ascii="仿宋" w:hAnsi="仿宋" w:eastAsia="仿宋" w:cs="仿宋"/>
          <w:color w:val="000000"/>
          <w:kern w:val="0"/>
          <w:sz w:val="28"/>
          <w:szCs w:val="28"/>
        </w:rPr>
      </w:pPr>
    </w:p>
    <w:p>
      <w:pPr>
        <w:adjustRightInd w:val="0"/>
        <w:snapToGrid w:val="0"/>
        <w:spacing w:line="500" w:lineRule="exact"/>
        <w:ind w:firstLine="560" w:firstLineChars="200"/>
        <w:jc w:val="left"/>
        <w:rPr>
          <w:rFonts w:ascii="仿宋" w:hAnsi="仿宋" w:eastAsia="仿宋" w:cs="仿宋"/>
          <w:color w:val="000000"/>
          <w:kern w:val="0"/>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五、培养方式</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、采用全日制培养方式，实行“课程学习</w:t>
      </w:r>
      <w:r>
        <w:rPr>
          <w:rFonts w:ascii="仿宋_GB2312" w:hAnsi="宋体" w:eastAsia="仿宋_GB2312"/>
          <w:sz w:val="28"/>
          <w:szCs w:val="28"/>
        </w:rPr>
        <w:t>+</w:t>
      </w:r>
      <w:r>
        <w:rPr>
          <w:rFonts w:hint="eastAsia" w:ascii="仿宋_GB2312" w:hAnsi="宋体" w:eastAsia="仿宋_GB2312"/>
          <w:sz w:val="28"/>
          <w:szCs w:val="28"/>
        </w:rPr>
        <w:t>学位论文”两阶段培养。</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、采用学分制，学生必须通过由学校组织的规定课程的考试，考试课程（科目）成绩达</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hAnsi="宋体" w:eastAsia="仿宋_GB2312"/>
          <w:sz w:val="28"/>
          <w:szCs w:val="28"/>
        </w:rPr>
        <w:t>/</w:t>
      </w:r>
      <w:r>
        <w:rPr>
          <w:rFonts w:hint="eastAsia" w:ascii="仿宋_GB2312" w:hAnsi="宋体" w:eastAsia="仿宋_GB2312"/>
          <w:sz w:val="28"/>
          <w:szCs w:val="28"/>
        </w:rPr>
        <w:t>期末考试等因素综合评定。</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、课程考试成绩未达到合格要求者，根据课程情况可申请补考或重修，具体考核细则按《中山大学研究生学业考核管理办法》执行。</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）必修课程（科目）考试不合格者须补考或重修。凡累计</w:t>
      </w:r>
      <w:r>
        <w:rPr>
          <w:rFonts w:ascii="仿宋_GB2312" w:hAnsi="宋体" w:eastAsia="仿宋_GB2312"/>
          <w:sz w:val="28"/>
          <w:szCs w:val="28"/>
        </w:rPr>
        <w:t xml:space="preserve"> 3 </w:t>
      </w:r>
      <w:r>
        <w:rPr>
          <w:rFonts w:hint="eastAsia" w:ascii="仿宋_GB2312" w:hAnsi="宋体"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）补考：每门课程只允许补考一次。补考成绩达到</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分），按</w:t>
      </w:r>
      <w:r>
        <w:rPr>
          <w:rFonts w:ascii="仿宋_GB2312" w:hAnsi="宋体" w:eastAsia="仿宋_GB2312"/>
          <w:sz w:val="28"/>
          <w:szCs w:val="28"/>
        </w:rPr>
        <w:t xml:space="preserve"> 60 </w:t>
      </w:r>
      <w:r>
        <w:rPr>
          <w:rFonts w:hint="eastAsia" w:ascii="仿宋_GB2312" w:hAnsi="宋体" w:eastAsia="仿宋_GB2312"/>
          <w:sz w:val="28"/>
          <w:szCs w:val="28"/>
        </w:rPr>
        <w:t>分登记；低于</w:t>
      </w:r>
      <w:r>
        <w:rPr>
          <w:rFonts w:ascii="仿宋_GB2312" w:hAnsi="宋体" w:eastAsia="仿宋_GB2312"/>
          <w:sz w:val="28"/>
          <w:szCs w:val="28"/>
        </w:rPr>
        <w:t xml:space="preserve"> 60 </w:t>
      </w:r>
      <w:r>
        <w:rPr>
          <w:rFonts w:hint="eastAsia" w:ascii="仿宋_GB2312" w:hAnsi="宋体" w:eastAsia="仿宋_GB2312"/>
          <w:sz w:val="28"/>
          <w:szCs w:val="28"/>
        </w:rPr>
        <w:t>分的，按实际成绩登记。补考成绩的登记须注明“补考”。</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）重修：每门课程只允许重修一次。课程重修按实际考核成绩登记，注明“重修”。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、符合研究生院免修规定的研究生可免修英语。</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六、课程设置与学分要求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华文仿宋" w:eastAsia="仿宋_GB2312"/>
          <w:sz w:val="28"/>
          <w:szCs w:val="28"/>
        </w:rPr>
        <w:t>本专业的课程设置见表一。</w:t>
      </w:r>
      <w:r>
        <w:rPr>
          <w:rFonts w:hint="eastAsia" w:ascii="仿宋_GB2312" w:hAnsi="宋体" w:eastAsia="仿宋_GB2312"/>
          <w:sz w:val="28"/>
          <w:szCs w:val="28"/>
        </w:rPr>
        <w:t>学院开出的选修课，其它专业的学生都可以选修。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要求学生总学分至少修满</w:t>
      </w:r>
      <w:r>
        <w:rPr>
          <w:rFonts w:ascii="仿宋_GB2312" w:hAnsi="宋体" w:eastAsia="仿宋_GB2312"/>
          <w:sz w:val="28"/>
          <w:szCs w:val="28"/>
        </w:rPr>
        <w:t>32</w:t>
      </w:r>
      <w:r>
        <w:rPr>
          <w:rFonts w:hint="eastAsia" w:ascii="仿宋_GB2312" w:hAnsi="宋体" w:eastAsia="仿宋_GB2312"/>
          <w:sz w:val="28"/>
          <w:szCs w:val="28"/>
        </w:rPr>
        <w:t>学分，其中：</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）必修课至少</w:t>
      </w:r>
      <w:r>
        <w:rPr>
          <w:rFonts w:ascii="仿宋_GB2312" w:hAnsi="宋体" w:eastAsia="仿宋_GB2312"/>
          <w:sz w:val="28"/>
          <w:szCs w:val="28"/>
        </w:rPr>
        <w:t>28</w:t>
      </w:r>
      <w:r>
        <w:rPr>
          <w:rFonts w:hint="eastAsia" w:ascii="仿宋_GB2312" w:hAnsi="宋体" w:eastAsia="仿宋_GB2312"/>
          <w:sz w:val="28"/>
          <w:szCs w:val="28"/>
        </w:rPr>
        <w:t>学分。</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）选修课建议</w:t>
      </w:r>
      <w:r>
        <w:rPr>
          <w:rFonts w:ascii="仿宋_GB2312" w:hAnsi="宋体" w:eastAsia="仿宋_GB2312"/>
          <w:sz w:val="28"/>
          <w:szCs w:val="28"/>
        </w:rPr>
        <w:t>4</w:t>
      </w:r>
      <w:r>
        <w:rPr>
          <w:rFonts w:hint="eastAsia" w:ascii="仿宋_GB2312" w:hAnsi="宋体" w:eastAsia="仿宋_GB2312"/>
          <w:sz w:val="28"/>
          <w:szCs w:val="28"/>
        </w:rPr>
        <w:t>学分。</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）补修课。本科专业非本专业的学生应补修</w:t>
      </w:r>
      <w:r>
        <w:rPr>
          <w:rFonts w:ascii="仿宋_GB2312" w:hAnsi="宋体" w:eastAsia="仿宋_GB2312"/>
          <w:sz w:val="28"/>
          <w:szCs w:val="28"/>
        </w:rPr>
        <w:t>4</w:t>
      </w:r>
      <w:r>
        <w:rPr>
          <w:rFonts w:hint="eastAsia" w:ascii="仿宋_GB2312" w:hAnsi="宋体" w:eastAsia="仿宋_GB2312"/>
          <w:sz w:val="28"/>
          <w:szCs w:val="28"/>
        </w:rPr>
        <w:t>门本专业本科核心课程（见表二）中的</w:t>
      </w:r>
      <w:r>
        <w:rPr>
          <w:rFonts w:ascii="仿宋_GB2312" w:hAnsi="宋体" w:eastAsia="仿宋_GB2312"/>
          <w:sz w:val="28"/>
          <w:szCs w:val="28"/>
        </w:rPr>
        <w:t>2</w:t>
      </w:r>
      <w:r>
        <w:rPr>
          <w:rFonts w:hint="eastAsia" w:ascii="仿宋_GB2312" w:hAnsi="宋体" w:eastAsia="仿宋_GB2312"/>
          <w:sz w:val="28"/>
          <w:szCs w:val="28"/>
        </w:rPr>
        <w:t>门。本科阶段确有修过相同或相近课程的，经导师审核同意，可以免除补修要求。补修课程要求在第一学年内完成，必须考试通过，不计学分。</w:t>
      </w:r>
    </w:p>
    <w:p>
      <w:pPr>
        <w:adjustRightInd w:val="0"/>
        <w:snapToGrid w:val="0"/>
        <w:spacing w:line="500" w:lineRule="exact"/>
        <w:ind w:firstLine="560" w:firstLineChars="200"/>
        <w:jc w:val="left"/>
        <w:rPr>
          <w:rFonts w:ascii="仿宋_GB2312" w:hAnsi="华文仿宋" w:eastAsia="仿宋_GB2312"/>
          <w:sz w:val="28"/>
          <w:szCs w:val="28"/>
        </w:rPr>
      </w:pPr>
      <w:r>
        <w:rPr>
          <w:rFonts w:ascii="仿宋_GB2312" w:hAnsi="华文仿宋" w:eastAsia="仿宋_GB2312"/>
          <w:sz w:val="28"/>
          <w:szCs w:val="28"/>
        </w:rPr>
        <w:t>2.</w:t>
      </w:r>
      <w:r>
        <w:rPr>
          <w:rFonts w:hint="eastAsia" w:ascii="仿宋_GB2312" w:hAnsi="华文仿宋" w:eastAsia="仿宋_GB2312"/>
          <w:sz w:val="28"/>
          <w:szCs w:val="28"/>
        </w:rPr>
        <w:t>课程设置：</w:t>
      </w:r>
    </w:p>
    <w:p>
      <w:pPr>
        <w:spacing w:line="500" w:lineRule="exact"/>
        <w:jc w:val="center"/>
        <w:rPr>
          <w:rFonts w:ascii="仿宋_GB2312" w:hAnsi="华文仿宋" w:eastAsia="仿宋_GB2312"/>
          <w:sz w:val="28"/>
          <w:szCs w:val="28"/>
        </w:rPr>
      </w:pPr>
      <w:bookmarkStart w:id="0" w:name="_Hlk72143580"/>
      <w:r>
        <w:rPr>
          <w:rFonts w:hint="eastAsia" w:ascii="仿宋_GB2312" w:hAnsi="华文仿宋" w:eastAsia="仿宋_GB2312"/>
          <w:sz w:val="28"/>
          <w:szCs w:val="28"/>
        </w:rPr>
        <w:t>表一：课程设置清单</w:t>
      </w:r>
    </w:p>
    <w:tbl>
      <w:tblPr>
        <w:tblStyle w:val="20"/>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720"/>
        <w:gridCol w:w="1080"/>
        <w:gridCol w:w="2790"/>
        <w:gridCol w:w="540"/>
        <w:gridCol w:w="450"/>
        <w:gridCol w:w="2520"/>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gridSpan w:val="2"/>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总</w:t>
            </w:r>
            <w:r>
              <w:rPr>
                <w:rFonts w:ascii="仿宋_GB2312" w:hAnsi="华文仿宋" w:eastAsia="仿宋_GB2312"/>
                <w:kern w:val="0"/>
                <w:sz w:val="16"/>
                <w:szCs w:val="16"/>
              </w:rPr>
              <w:t>32</w:t>
            </w:r>
            <w:r>
              <w:rPr>
                <w:rFonts w:hint="eastAsia" w:ascii="仿宋_GB2312" w:hAnsi="华文仿宋" w:eastAsia="仿宋_GB2312"/>
                <w:kern w:val="0"/>
                <w:sz w:val="16"/>
                <w:szCs w:val="16"/>
              </w:rPr>
              <w:t>学分</w:t>
            </w:r>
          </w:p>
        </w:tc>
        <w:tc>
          <w:tcPr>
            <w:tcW w:w="108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课程代码</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课程名称</w:t>
            </w:r>
            <w:r>
              <w:rPr>
                <w:rFonts w:ascii="仿宋_GB2312" w:hAnsi="华文仿宋" w:eastAsia="仿宋_GB2312"/>
                <w:kern w:val="0"/>
                <w:sz w:val="16"/>
                <w:szCs w:val="16"/>
              </w:rPr>
              <w:t>/</w:t>
            </w:r>
            <w:r>
              <w:rPr>
                <w:rFonts w:hint="eastAsia" w:ascii="仿宋_GB2312" w:hAnsi="华文仿宋" w:eastAsia="仿宋_GB2312"/>
                <w:kern w:val="0"/>
                <w:sz w:val="16"/>
                <w:szCs w:val="16"/>
              </w:rPr>
              <w:t>英文名称</w:t>
            </w:r>
          </w:p>
        </w:tc>
        <w:tc>
          <w:tcPr>
            <w:tcW w:w="540"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学时</w:t>
            </w:r>
          </w:p>
        </w:tc>
        <w:tc>
          <w:tcPr>
            <w:tcW w:w="450"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学分</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课程负责人</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textDirection w:val="tbRlV"/>
            <w:vAlign w:val="center"/>
          </w:tcPr>
          <w:p>
            <w:pPr>
              <w:snapToGrid w:val="0"/>
              <w:ind w:left="113" w:right="113"/>
              <w:contextualSpacing/>
              <w:rPr>
                <w:rFonts w:ascii="仿宋_GB2312" w:hAnsi="华文仿宋" w:eastAsia="仿宋_GB2312"/>
                <w:kern w:val="0"/>
                <w:sz w:val="16"/>
                <w:szCs w:val="16"/>
              </w:rPr>
            </w:pPr>
            <w:r>
              <w:rPr>
                <w:rFonts w:hint="eastAsia" w:ascii="仿宋_GB2312" w:hAnsi="华文仿宋" w:eastAsia="仿宋_GB2312"/>
                <w:kern w:val="0"/>
                <w:sz w:val="16"/>
                <w:szCs w:val="16"/>
              </w:rPr>
              <w:t>必修课</w:t>
            </w:r>
            <w:r>
              <w:rPr>
                <w:rFonts w:ascii="仿宋_GB2312" w:hAnsi="华文仿宋" w:eastAsia="仿宋_GB2312"/>
                <w:kern w:val="0"/>
                <w:sz w:val="16"/>
                <w:szCs w:val="16"/>
              </w:rPr>
              <w:t>(</w:t>
            </w:r>
            <w:r>
              <w:rPr>
                <w:rFonts w:hint="eastAsia" w:ascii="仿宋_GB2312" w:hAnsi="华文仿宋" w:eastAsia="仿宋_GB2312"/>
                <w:kern w:val="0"/>
                <w:sz w:val="16"/>
                <w:szCs w:val="16"/>
              </w:rPr>
              <w:t>不少于</w:t>
            </w:r>
            <w:r>
              <w:rPr>
                <w:rFonts w:ascii="仿宋_GB2312" w:hAnsi="华文仿宋" w:eastAsia="仿宋_GB2312"/>
                <w:kern w:val="0"/>
                <w:sz w:val="16"/>
                <w:szCs w:val="16"/>
              </w:rPr>
              <w:t>28</w:t>
            </w:r>
            <w:r>
              <w:rPr>
                <w:rFonts w:hint="eastAsia" w:ascii="仿宋_GB2312" w:hAnsi="华文仿宋" w:eastAsia="仿宋_GB2312"/>
                <w:kern w:val="0"/>
                <w:sz w:val="16"/>
                <w:szCs w:val="16"/>
              </w:rPr>
              <w:t>分</w:t>
            </w:r>
            <w:r>
              <w:rPr>
                <w:rFonts w:ascii="仿宋_GB2312" w:hAnsi="华文仿宋" w:eastAsia="仿宋_GB2312"/>
                <w:kern w:val="0"/>
                <w:sz w:val="16"/>
                <w:szCs w:val="16"/>
              </w:rPr>
              <w:t>)</w:t>
            </w:r>
          </w:p>
          <w:p>
            <w:pPr>
              <w:snapToGrid w:val="0"/>
              <w:ind w:left="113" w:right="113"/>
              <w:contextualSpacing/>
              <w:rPr>
                <w:rFonts w:ascii="仿宋_GB2312" w:hAnsi="华文仿宋" w:eastAsia="仿宋_GB2312"/>
                <w:kern w:val="0"/>
                <w:sz w:val="16"/>
                <w:szCs w:val="16"/>
              </w:rPr>
            </w:pPr>
          </w:p>
        </w:tc>
        <w:tc>
          <w:tcPr>
            <w:tcW w:w="720" w:type="dxa"/>
            <w:vMerge w:val="restart"/>
            <w:vAlign w:val="center"/>
          </w:tcPr>
          <w:p>
            <w:pPr>
              <w:snapToGrid w:val="0"/>
              <w:ind w:left="113" w:right="113"/>
              <w:contextualSpacing/>
              <w:rPr>
                <w:rFonts w:ascii="仿宋_GB2312" w:hAnsi="华文仿宋" w:eastAsia="仿宋_GB2312"/>
                <w:kern w:val="0"/>
                <w:sz w:val="16"/>
                <w:szCs w:val="16"/>
              </w:rPr>
            </w:pPr>
            <w:r>
              <w:rPr>
                <w:rFonts w:hint="eastAsia" w:ascii="仿宋_GB2312" w:hAnsi="华文仿宋" w:eastAsia="仿宋_GB2312"/>
                <w:kern w:val="0"/>
                <w:sz w:val="16"/>
                <w:szCs w:val="16"/>
              </w:rPr>
              <w:t>公共课</w:t>
            </w:r>
          </w:p>
          <w:p>
            <w:pPr>
              <w:snapToGrid w:val="0"/>
              <w:ind w:right="113"/>
              <w:contextualSpacing/>
              <w:rPr>
                <w:rFonts w:ascii="仿宋_GB2312" w:hAnsi="华文仿宋" w:eastAsia="仿宋_GB2312"/>
                <w:kern w:val="0"/>
                <w:sz w:val="16"/>
                <w:szCs w:val="16"/>
              </w:rPr>
            </w:pPr>
            <w:r>
              <w:rPr>
                <w:rFonts w:ascii="仿宋_GB2312" w:hAnsi="华文仿宋" w:eastAsia="仿宋_GB2312"/>
                <w:kern w:val="0"/>
                <w:sz w:val="16"/>
                <w:szCs w:val="16"/>
              </w:rPr>
              <w:t>(8</w:t>
            </w:r>
            <w:r>
              <w:rPr>
                <w:rFonts w:hint="eastAsia" w:ascii="仿宋_GB2312" w:hAnsi="华文仿宋" w:eastAsia="仿宋_GB2312"/>
                <w:kern w:val="0"/>
                <w:sz w:val="16"/>
                <w:szCs w:val="16"/>
              </w:rPr>
              <w:t>学分</w:t>
            </w:r>
            <w:r>
              <w:rPr>
                <w:rFonts w:ascii="仿宋_GB2312" w:hAnsi="华文仿宋" w:eastAsia="仿宋_GB2312"/>
                <w:kern w:val="0"/>
                <w:sz w:val="16"/>
                <w:szCs w:val="16"/>
              </w:rPr>
              <w:t>)</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MAR5001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新时代中国特色社会主义理论与实践</w:t>
            </w:r>
            <w:r>
              <w:rPr>
                <w:rFonts w:ascii="仿宋_GB2312" w:hAnsi="华文仿宋" w:eastAsia="仿宋_GB2312"/>
                <w:kern w:val="0"/>
                <w:sz w:val="16"/>
                <w:szCs w:val="16"/>
              </w:rPr>
              <w:t>Theory and Practice of Socialism with Chinese Characteristics for a New Era</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马克思主义学院</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MAR5002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自然辩证法概论</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Dialectics of Nature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w:t>
            </w:r>
          </w:p>
        </w:tc>
        <w:tc>
          <w:tcPr>
            <w:tcW w:w="2520" w:type="dxa"/>
            <w:vMerge w:val="continue"/>
            <w:vAlign w:val="center"/>
          </w:tcPr>
          <w:p>
            <w:pPr>
              <w:snapToGrid w:val="0"/>
              <w:contextualSpacing/>
              <w:rPr>
                <w:rFonts w:ascii="仿宋_GB2312" w:hAnsi="华文仿宋" w:eastAsia="仿宋_GB2312"/>
                <w:kern w:val="0"/>
                <w:sz w:val="16"/>
                <w:szCs w:val="16"/>
              </w:rPr>
            </w:pPr>
          </w:p>
        </w:tc>
        <w:tc>
          <w:tcPr>
            <w:tcW w:w="806" w:type="dxa"/>
            <w:vMerge w:val="restart"/>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二选一</w:t>
            </w:r>
          </w:p>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MAR5003</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马克思主义与社会科学方法论</w:t>
            </w:r>
            <w:r>
              <w:rPr>
                <w:rFonts w:ascii="仿宋_GB2312" w:hAnsi="华文仿宋" w:eastAsia="仿宋_GB2312"/>
                <w:kern w:val="0"/>
                <w:sz w:val="16"/>
                <w:szCs w:val="16"/>
              </w:rPr>
              <w:t>Marxism and The Methodology of Social Science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w:t>
            </w:r>
          </w:p>
        </w:tc>
        <w:tc>
          <w:tcPr>
            <w:tcW w:w="2520" w:type="dxa"/>
            <w:vMerge w:val="continue"/>
            <w:vAlign w:val="center"/>
          </w:tcPr>
          <w:p>
            <w:pPr>
              <w:snapToGrid w:val="0"/>
              <w:contextualSpacing/>
              <w:rPr>
                <w:rFonts w:ascii="仿宋_GB2312" w:hAnsi="华文仿宋" w:eastAsia="仿宋_GB2312"/>
                <w:kern w:val="0"/>
                <w:sz w:val="16"/>
                <w:szCs w:val="16"/>
              </w:rPr>
            </w:pP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FL-5001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第一外国语（英语）</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First Foreign Language(English)</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120</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外国语学院</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专业基础课（不少于</w:t>
            </w:r>
            <w:r>
              <w:rPr>
                <w:rFonts w:ascii="仿宋_GB2312" w:hAnsi="华文仿宋" w:eastAsia="仿宋_GB2312"/>
                <w:kern w:val="0"/>
                <w:sz w:val="16"/>
                <w:szCs w:val="16"/>
              </w:rPr>
              <w:t>17</w:t>
            </w:r>
            <w:r>
              <w:rPr>
                <w:rFonts w:hint="eastAsia" w:ascii="仿宋_GB2312" w:hAnsi="华文仿宋" w:eastAsia="仿宋_GB2312"/>
                <w:kern w:val="0"/>
                <w:sz w:val="16"/>
                <w:szCs w:val="16"/>
              </w:rPr>
              <w:t>学分）</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随机过程</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Stochastic Process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马啸、龚杰、杜育松、周育人</w:t>
            </w:r>
          </w:p>
        </w:tc>
        <w:tc>
          <w:tcPr>
            <w:tcW w:w="806" w:type="dxa"/>
            <w:vMerge w:val="restart"/>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数理模块</w:t>
            </w:r>
            <w:r>
              <w:rPr>
                <w:rFonts w:ascii="仿宋_GB2312" w:hAnsi="华文仿宋" w:eastAsia="仿宋_GB2312"/>
                <w:kern w:val="0"/>
                <w:sz w:val="16"/>
                <w:szCs w:val="16"/>
              </w:rPr>
              <w:t>5</w:t>
            </w:r>
            <w:r>
              <w:rPr>
                <w:rFonts w:hint="eastAsia" w:ascii="仿宋_GB2312" w:hAnsi="华文仿宋" w:eastAsia="仿宋_GB2312"/>
                <w:kern w:val="0"/>
                <w:sz w:val="16"/>
                <w:szCs w:val="16"/>
              </w:rPr>
              <w:t>选</w:t>
            </w:r>
            <w:r>
              <w:rPr>
                <w:rFonts w:ascii="仿宋_GB2312" w:hAnsi="华文仿宋" w:eastAsia="仿宋_GB2312"/>
                <w:kern w:val="0"/>
                <w:sz w:val="16"/>
                <w:szCs w:val="16"/>
              </w:rPr>
              <w:t>1</w:t>
            </w:r>
            <w:r>
              <w:rPr>
                <w:rFonts w:hint="eastAsia" w:ascii="仿宋_GB2312" w:hAnsi="华文仿宋" w:eastAsia="仿宋_GB2312"/>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DCS5170</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泛函分析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Functional Analysis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杨宏奇、张永东、陆遥</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高等数值计算方法</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Higher Numerical Calculation Methods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邹青松、张雨浓、谭志军、汪涛、黎卫兵</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矩阵分析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Matrix Analysis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陈佩、马锦华、陈川、李全忠</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DCS5103</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最优化理论与方法</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Optimization Theory and Methods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王国利、凌青、汪涛、李洽、衣杨</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高级算法设计与分析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Algorithms and Programming Techniques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凌应标、戴智明、张子臻、冯剑琳</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算法模块必选（春）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DCS5109</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高级计算机体系结构</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Advanced Computer Architecture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吴迪、黄凯、胡淼、张献伟、陈志广</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体系结构模块必选（秋）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DCS5173</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高级人工智能</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Artificial Intelligence</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王甲海、潘嵘、方艳梅、饶洋辉、林倞、李冠彬、卓汉逵、赖韩江、苏勤亮</w:t>
            </w:r>
          </w:p>
        </w:tc>
        <w:tc>
          <w:tcPr>
            <w:tcW w:w="806" w:type="dxa"/>
            <w:vMerge w:val="restart"/>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方向基础模块</w:t>
            </w:r>
          </w:p>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4</w:t>
            </w:r>
            <w:r>
              <w:rPr>
                <w:rFonts w:hint="eastAsia" w:ascii="仿宋_GB2312" w:hAnsi="华文仿宋" w:eastAsia="仿宋_GB2312"/>
                <w:kern w:val="0"/>
                <w:sz w:val="16"/>
                <w:szCs w:val="16"/>
              </w:rPr>
              <w:t>选</w:t>
            </w:r>
            <w:r>
              <w:rPr>
                <w:rFonts w:ascii="仿宋_GB2312" w:hAnsi="华文仿宋" w:eastAsia="仿宋_GB2312"/>
                <w:kern w:val="0"/>
                <w:sz w:val="16"/>
                <w:szCs w:val="16"/>
              </w:rPr>
              <w:t>2</w:t>
            </w:r>
            <w:r>
              <w:rPr>
                <w:rFonts w:hint="eastAsia" w:ascii="仿宋_GB2312" w:hAnsi="华文仿宋" w:eastAsia="仿宋_GB2312"/>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DCS5174</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高级计算机网络</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Computer Networks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农革、温武少、周杰英、余顺争、张晓溪</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DCS5175</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高级数据库技术</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Database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刘玉葆、饶洋辉</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DCS5176</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并行算法设计与分析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Parallel Algorithms and Programming Techniques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沈鸿、黄聃、陶钧</w:t>
            </w:r>
          </w:p>
        </w:tc>
        <w:tc>
          <w:tcPr>
            <w:tcW w:w="806" w:type="dxa"/>
            <w:vMerge w:val="continue"/>
            <w:vAlign w:val="center"/>
          </w:tcPr>
          <w:p>
            <w:pPr>
              <w:snapToGrid w:val="0"/>
              <w:contextualSpacing/>
              <w:jc w:val="center"/>
              <w:rPr>
                <w:rFonts w:ascii="仿宋_GB2312" w:hAnsi="华文仿宋" w:eastAsia="仿宋_GB2312"/>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hint="default" w:ascii="仿宋_GB2312" w:hAnsi="华文仿宋" w:eastAsia="仿宋_GB2312"/>
                <w:kern w:val="0"/>
                <w:sz w:val="16"/>
                <w:szCs w:val="16"/>
                <w:lang w:val="en-US" w:eastAsia="zh-CN"/>
              </w:rPr>
            </w:pPr>
            <w:r>
              <w:rPr>
                <w:rFonts w:ascii="仿宋_GB2312" w:hAnsi="华文仿宋" w:eastAsia="仿宋_GB2312"/>
                <w:color w:val="0000FF"/>
                <w:kern w:val="0"/>
                <w:sz w:val="16"/>
                <w:szCs w:val="16"/>
              </w:rPr>
              <w:t>DCS5169</w:t>
            </w:r>
            <w:r>
              <w:rPr>
                <w:rFonts w:hint="eastAsia" w:ascii="仿宋_GB2312" w:hAnsi="华文仿宋" w:eastAsia="仿宋_GB2312"/>
                <w:color w:val="0000FF"/>
                <w:kern w:val="0"/>
                <w:sz w:val="16"/>
                <w:szCs w:val="16"/>
                <w:lang w:eastAsia="zh-CN"/>
              </w:rPr>
              <w:t>改为</w:t>
            </w:r>
            <w:r>
              <w:rPr>
                <w:rFonts w:hint="eastAsia" w:ascii="仿宋_GB2312" w:hAnsi="华文仿宋" w:eastAsia="仿宋_GB2312"/>
                <w:color w:val="0000FF"/>
                <w:kern w:val="0"/>
                <w:sz w:val="16"/>
                <w:szCs w:val="16"/>
                <w:lang w:val="en-US" w:eastAsia="zh-CN"/>
              </w:rPr>
              <w:t>DCS5189</w:t>
            </w:r>
            <w:bookmarkStart w:id="1" w:name="_GoBack"/>
            <w:bookmarkEnd w:id="1"/>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学术规范与论文写作</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Academic Norm and Writing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导师组</w:t>
            </w:r>
          </w:p>
        </w:tc>
        <w:tc>
          <w:tcPr>
            <w:tcW w:w="806"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DCS5177</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专业前沿讲座</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Frontier Lectures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0.5</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导师组</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DCS5178</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职业发展与综合素质培养</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Career Development and Comprehensive Quality Training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18</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0.5</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导师组</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专业课（建议选</w:t>
            </w:r>
            <w:r>
              <w:rPr>
                <w:rFonts w:ascii="仿宋_GB2312" w:hAnsi="华文仿宋" w:eastAsia="仿宋_GB2312"/>
                <w:kern w:val="0"/>
                <w:sz w:val="16"/>
                <w:szCs w:val="16"/>
              </w:rPr>
              <w:t>3</w:t>
            </w:r>
            <w:r>
              <w:rPr>
                <w:rFonts w:hint="eastAsia" w:ascii="仿宋_GB2312" w:hAnsi="华文仿宋" w:eastAsia="仿宋_GB2312"/>
                <w:kern w:val="0"/>
                <w:sz w:val="16"/>
                <w:szCs w:val="16"/>
              </w:rPr>
              <w:t>学分）</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DCS5179</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计算机程序理论与模型</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Computer Program Theory and Modeling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万海、张治国、周晓聪、李文军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DCS5180</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可计算性与数理逻辑</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Computability and Mathematical Logic</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刘咏梅、周晓聪</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DCS5181</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嵌入式系统</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Embedded Systems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陈刚、吴贺俊、黄凯</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高级分布式系统</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Distributed Systems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陈鹏飞、吴维刚、林小拉、黄华威</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DCS7108</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模式识别</w:t>
            </w:r>
            <w:r>
              <w:rPr>
                <w:rFonts w:ascii="仿宋_GB2312" w:hAnsi="华文仿宋" w:eastAsia="仿宋_GB2312"/>
                <w:kern w:val="0"/>
                <w:sz w:val="16"/>
                <w:szCs w:val="16"/>
              </w:rPr>
              <w:t xml:space="preserve"> </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Pattern Recognition</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郑伟诗、王瑞轩、杨猛、郑慧诚、胡建芳、李冠彬、张冬雨</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DCS5183</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高级网络与信息安全技术</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Advanced Network and Information Security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金舒原、黄方军、卢伟、龙冬阳、谢逸、郑培嘉、刘红梅</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color w:val="auto"/>
                <w:kern w:val="0"/>
                <w:sz w:val="16"/>
                <w:szCs w:val="16"/>
              </w:rPr>
              <w:t>DCS5184</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无线通信与网络</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Wireless Communications and Networking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龚杰、李全忠、倪江群、卞静、康显桂</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vAlign w:val="center"/>
          </w:tcPr>
          <w:p>
            <w:pPr>
              <w:snapToGrid w:val="0"/>
              <w:contextualSpacing/>
              <w:rPr>
                <w:rFonts w:ascii="Calibri" w:hAnsi="Calibri"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p>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选修课（建议选</w:t>
            </w:r>
            <w:r>
              <w:rPr>
                <w:rFonts w:ascii="仿宋_GB2312" w:hAnsi="华文仿宋" w:eastAsia="仿宋_GB2312"/>
                <w:kern w:val="0"/>
                <w:sz w:val="16"/>
                <w:szCs w:val="16"/>
              </w:rPr>
              <w:t>4</w:t>
            </w:r>
            <w:r>
              <w:rPr>
                <w:rFonts w:hint="eastAsia" w:ascii="仿宋_GB2312" w:hAnsi="华文仿宋" w:eastAsia="仿宋_GB2312"/>
                <w:kern w:val="0"/>
                <w:sz w:val="16"/>
                <w:szCs w:val="16"/>
              </w:rPr>
              <w:t>学分）</w:t>
            </w: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理论与算法</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DCS6264</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界面问题数值方法</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Numerical Methods for Interface Problems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谭志军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Calibri" w:hAnsi="Calibri"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DCS6286</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现代偏微分方程计算方法</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Modern Methods for Calculating Partial Differential Equations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邹青松、谭志军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Calibri" w:hAnsi="Calibri"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DCS6288</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复变函数</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Functions of Complex Variables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骆伟祺</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DCS6195</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图论算法</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Graph Theory Algorithm</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娄定俊</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DCS6269</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量子计算（本硕贯通）</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Quantum Computation</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邱道文、李绿周</w:t>
            </w:r>
          </w:p>
        </w:tc>
        <w:tc>
          <w:tcPr>
            <w:tcW w:w="806" w:type="dxa"/>
          </w:tcPr>
          <w:p>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DCS6180</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形式语言与自动机</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Formal Language and Automata</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邱道文</w:t>
            </w:r>
          </w:p>
        </w:tc>
        <w:tc>
          <w:tcPr>
            <w:tcW w:w="806" w:type="dxa"/>
          </w:tcPr>
          <w:p>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DCS6239</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有限域基础</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Introduction to Finite Fields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韦宝典、杜育松、郑培嘉</w:t>
            </w:r>
          </w:p>
        </w:tc>
        <w:tc>
          <w:tcPr>
            <w:tcW w:w="806" w:type="dxa"/>
          </w:tcPr>
          <w:p>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系统与网络</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DCS6270</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边缘计算（本硕贯通）</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Edge Computing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陈旭、周知</w:t>
            </w:r>
          </w:p>
        </w:tc>
        <w:tc>
          <w:tcPr>
            <w:tcW w:w="806" w:type="dxa"/>
          </w:tcPr>
          <w:p>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DCS6271</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软硬件协同设计</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hardware software co design</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陈刚</w:t>
            </w:r>
          </w:p>
        </w:tc>
        <w:tc>
          <w:tcPr>
            <w:tcW w:w="806" w:type="dxa"/>
          </w:tcPr>
          <w:p>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DCS6260</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大数据存储技术</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Big Data Storage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陈志广、肖侬</w:t>
            </w:r>
          </w:p>
        </w:tc>
        <w:tc>
          <w:tcPr>
            <w:tcW w:w="806" w:type="dxa"/>
          </w:tcPr>
          <w:p>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DCS6287</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数据科学与工程</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Data Science and Engineering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周杰英、吴维刚</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网络测量与性能分析</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Network measurement and performance analysis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谢逸、余顺争、周杰英</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DCS6290</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区块链原理与技术（本硕贯通）</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Blockchain Principles and Technologies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黄华威、陈亮、吴嘉婧</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AI</w:t>
            </w:r>
            <w:r>
              <w:rPr>
                <w:rFonts w:hint="eastAsia" w:ascii="仿宋_GB2312" w:hAnsi="华文仿宋" w:eastAsia="仿宋_GB2312"/>
                <w:kern w:val="0"/>
                <w:sz w:val="16"/>
                <w:szCs w:val="16"/>
              </w:rPr>
              <w:t>与大数据</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DCS6173</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数据挖掘</w:t>
            </w:r>
            <w:r>
              <w:rPr>
                <w:rFonts w:ascii="仿宋_GB2312" w:hAnsi="华文仿宋" w:eastAsia="仿宋_GB2312"/>
                <w:kern w:val="0"/>
                <w:sz w:val="16"/>
                <w:szCs w:val="16"/>
              </w:rPr>
              <w:t xml:space="preserve"> </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Data Mining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潘嵘、王昌栋、陈林、梁上松、郑培嘉、任江涛</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DCS5119</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数字图像处理</w:t>
            </w:r>
            <w:r>
              <w:rPr>
                <w:rFonts w:ascii="仿宋_GB2312" w:hAnsi="华文仿宋" w:eastAsia="仿宋_GB2312"/>
                <w:kern w:val="0"/>
                <w:sz w:val="16"/>
                <w:szCs w:val="16"/>
              </w:rPr>
              <w:t xml:space="preserve">   </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Digital Image Processing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54</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赖剑煌、谢晓华、朝红阳、倪江群、郑慧诚、刘宁、曾坤、罗志宏、潘炎</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DCS6262</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深度学习前沿</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Frontiers of Deep Learning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tcPr>
          <w:p>
            <w:pPr>
              <w:snapToGrid w:val="0"/>
              <w:jc w:val="left"/>
              <w:rPr>
                <w:rFonts w:ascii="仿宋_GB2312" w:hAnsi="华文仿宋" w:eastAsia="仿宋_GB2312"/>
                <w:kern w:val="0"/>
                <w:sz w:val="16"/>
                <w:szCs w:val="16"/>
              </w:rPr>
            </w:pPr>
            <w:r>
              <w:rPr>
                <w:rFonts w:hint="eastAsia" w:ascii="仿宋_GB2312" w:hAnsi="华文仿宋" w:eastAsia="仿宋_GB2312"/>
                <w:kern w:val="0"/>
                <w:sz w:val="16"/>
                <w:szCs w:val="16"/>
              </w:rPr>
              <w:t>王瑞轩、胡建芳</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DCS6203</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知识表示与推理</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Knowledge Representation and Reasoning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刘咏梅、万海</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DCS6273</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无人系统</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Unmanned Systems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成慧、黄凯、陈刚、谭宁、吴贺俊、潘永平、陈龙</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DCS6266</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自然语言处理</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Natural Language Processing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权小军、潘炎、杨猛、潘嵘</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DCS6289</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强化学习原理及应用</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Principles and Applications of Reinforcement Learning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余超</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安全与隐私</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DCS6274</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密码学前沿技术</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Advanced Topics of Modern Cryptography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张方国、田海博、龙冬阳、杜育松、郑培嘉</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DCS6275</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数据隐私保护与安全计算</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Data Privacy Protection and Secure Computing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桑应朋、郑培嘉、沈鸿</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DCS6276</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多媒体内容安全</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Multimedia Content Security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倪江群、黄方军、方艳梅、郑培嘉、刘红梅</w:t>
            </w:r>
          </w:p>
        </w:tc>
        <w:tc>
          <w:tcPr>
            <w:tcW w:w="806"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w:t>
            </w:r>
            <w:r>
              <w:rPr>
                <w:rFonts w:hint="eastAsia" w:ascii="仿宋_GB2312" w:hAnsi="华文仿宋" w:eastAsia="仿宋_GB2312"/>
                <w:kern w:val="0"/>
                <w:sz w:val="16"/>
                <w:szCs w:val="16"/>
              </w:rPr>
              <w:t>秋</w:t>
            </w:r>
            <w:r>
              <w:rPr>
                <w:rFonts w:ascii="仿宋_GB2312" w:hAnsi="华文仿宋" w:eastAsia="仿宋_GB2312"/>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DCS6277</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密码算法的</w:t>
            </w:r>
            <w:r>
              <w:rPr>
                <w:rFonts w:ascii="仿宋_GB2312" w:hAnsi="华文仿宋" w:eastAsia="仿宋_GB2312"/>
                <w:kern w:val="0"/>
                <w:sz w:val="16"/>
                <w:szCs w:val="16"/>
              </w:rPr>
              <w:t>FPGA</w:t>
            </w:r>
            <w:r>
              <w:rPr>
                <w:rFonts w:hint="eastAsia" w:ascii="仿宋_GB2312" w:hAnsi="华文仿宋" w:eastAsia="仿宋_GB2312"/>
                <w:kern w:val="0"/>
                <w:sz w:val="16"/>
                <w:szCs w:val="16"/>
              </w:rPr>
              <w:t>工程实践</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FPGA Engineering Practice for Cryptographic Algorithms</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杜育松</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restart"/>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软件与应用</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DCS6278</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面向对象技术</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Object-oriented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衣杨、刘聪、刘红梅、王青</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DCS6279</w:t>
            </w:r>
          </w:p>
        </w:tc>
        <w:tc>
          <w:tcPr>
            <w:tcW w:w="279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计算可视媒体</w:t>
            </w:r>
          </w:p>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Computational Visual Media</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王若梅、高成英、苏卓、周凡</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DCS6280</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软件项目管理</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Software Project Management</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毛明志、林倞、卞静、王青</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DCS6281</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数字几何处理</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Digital Geometry Processing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王若梅、高成英、苏卓</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DCS6282</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虚拟现实与可视化</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Virtual Reality and Visualization</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纪庆革、陶钧、周凡</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DCS6283</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软件工程理论基础</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Fundamentals of Software Engineering Theory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陈亮、吴嘉婧、陈武辉、周晓聪</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Merge w:val="continue"/>
            <w:vAlign w:val="center"/>
          </w:tcPr>
          <w:p>
            <w:pPr>
              <w:snapToGrid w:val="0"/>
              <w:contextualSpacing/>
              <w:rPr>
                <w:rFonts w:ascii="仿宋_GB2312" w:hAnsi="华文仿宋" w:eastAsia="仿宋_GB2312"/>
                <w:kern w:val="0"/>
                <w:sz w:val="16"/>
                <w:szCs w:val="16"/>
              </w:rPr>
            </w:pP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DCS6284</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工作流技术</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Workflow Technology</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余阳、王青</w:t>
            </w:r>
          </w:p>
        </w:tc>
        <w:tc>
          <w:tcPr>
            <w:tcW w:w="806" w:type="dxa"/>
            <w:vAlign w:val="center"/>
          </w:tcPr>
          <w:p>
            <w:pPr>
              <w:jc w:val="center"/>
            </w:pPr>
            <w:r>
              <w:rPr>
                <w:rFonts w:hint="eastAsia" w:ascii="仿宋_GB2312" w:hAnsi="华文仿宋" w:eastAsia="仿宋_GB2312"/>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45" w:type="dxa"/>
            <w:vMerge w:val="continue"/>
            <w:vAlign w:val="center"/>
          </w:tcPr>
          <w:p>
            <w:pPr>
              <w:snapToGrid w:val="0"/>
              <w:contextualSpacing/>
              <w:rPr>
                <w:rFonts w:ascii="仿宋_GB2312" w:hAnsi="华文仿宋" w:eastAsia="仿宋_GB2312"/>
                <w:kern w:val="0"/>
                <w:sz w:val="16"/>
                <w:szCs w:val="16"/>
              </w:rPr>
            </w:pPr>
          </w:p>
        </w:tc>
        <w:tc>
          <w:tcPr>
            <w:tcW w:w="720" w:type="dxa"/>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交叉科学</w:t>
            </w:r>
          </w:p>
        </w:tc>
        <w:tc>
          <w:tcPr>
            <w:tcW w:w="1080" w:type="dxa"/>
            <w:vAlign w:val="center"/>
          </w:tcPr>
          <w:p>
            <w:pPr>
              <w:snapToGrid w:val="0"/>
              <w:contextualSpacing/>
              <w:rPr>
                <w:rFonts w:ascii="仿宋_GB2312" w:hAnsi="华文仿宋" w:eastAsia="仿宋_GB2312"/>
                <w:kern w:val="0"/>
                <w:sz w:val="16"/>
                <w:szCs w:val="16"/>
              </w:rPr>
            </w:pPr>
            <w:r>
              <w:rPr>
                <w:rFonts w:ascii="仿宋_GB2312" w:hAnsi="华文仿宋" w:eastAsia="仿宋_GB2312"/>
                <w:kern w:val="0"/>
                <w:sz w:val="16"/>
                <w:szCs w:val="16"/>
              </w:rPr>
              <w:t>DCS6285</w:t>
            </w:r>
          </w:p>
        </w:tc>
        <w:tc>
          <w:tcPr>
            <w:tcW w:w="279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生物信息计算前沿</w:t>
            </w:r>
          </w:p>
          <w:p>
            <w:pPr>
              <w:snapToGrid w:val="0"/>
              <w:contextualSpacing/>
              <w:jc w:val="left"/>
              <w:rPr>
                <w:rFonts w:ascii="仿宋_GB2312" w:hAnsi="华文仿宋" w:eastAsia="仿宋_GB2312"/>
                <w:kern w:val="0"/>
                <w:sz w:val="16"/>
                <w:szCs w:val="16"/>
              </w:rPr>
            </w:pPr>
            <w:r>
              <w:rPr>
                <w:rFonts w:ascii="仿宋_GB2312" w:hAnsi="华文仿宋" w:eastAsia="仿宋_GB2312"/>
                <w:kern w:val="0"/>
                <w:sz w:val="16"/>
                <w:szCs w:val="16"/>
              </w:rPr>
              <w:t>Frontiers of Bioinformatics Computing</w:t>
            </w:r>
          </w:p>
        </w:tc>
        <w:tc>
          <w:tcPr>
            <w:tcW w:w="54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36</w:t>
            </w:r>
          </w:p>
        </w:tc>
        <w:tc>
          <w:tcPr>
            <w:tcW w:w="450" w:type="dxa"/>
            <w:vAlign w:val="center"/>
          </w:tcPr>
          <w:p>
            <w:pPr>
              <w:snapToGrid w:val="0"/>
              <w:contextualSpacing/>
              <w:jc w:val="center"/>
              <w:rPr>
                <w:rFonts w:ascii="仿宋_GB2312" w:hAnsi="华文仿宋" w:eastAsia="仿宋_GB2312"/>
                <w:kern w:val="0"/>
                <w:sz w:val="16"/>
                <w:szCs w:val="16"/>
              </w:rPr>
            </w:pPr>
            <w:r>
              <w:rPr>
                <w:rFonts w:ascii="仿宋_GB2312" w:hAnsi="华文仿宋" w:eastAsia="仿宋_GB2312"/>
                <w:kern w:val="0"/>
                <w:sz w:val="16"/>
                <w:szCs w:val="16"/>
              </w:rPr>
              <w:t>2</w:t>
            </w:r>
          </w:p>
        </w:tc>
        <w:tc>
          <w:tcPr>
            <w:tcW w:w="2520" w:type="dxa"/>
            <w:vAlign w:val="center"/>
          </w:tcPr>
          <w:p>
            <w:pPr>
              <w:snapToGrid w:val="0"/>
              <w:contextualSpacing/>
              <w:jc w:val="left"/>
              <w:rPr>
                <w:rFonts w:ascii="仿宋_GB2312" w:hAnsi="华文仿宋" w:eastAsia="仿宋_GB2312"/>
                <w:kern w:val="0"/>
                <w:sz w:val="16"/>
                <w:szCs w:val="16"/>
              </w:rPr>
            </w:pPr>
            <w:r>
              <w:rPr>
                <w:rFonts w:hint="eastAsia" w:ascii="仿宋_GB2312" w:hAnsi="华文仿宋" w:eastAsia="仿宋_GB2312"/>
                <w:kern w:val="0"/>
                <w:sz w:val="16"/>
                <w:szCs w:val="16"/>
              </w:rPr>
              <w:t>杨跃东、戴智明</w:t>
            </w:r>
          </w:p>
        </w:tc>
        <w:tc>
          <w:tcPr>
            <w:tcW w:w="806" w:type="dxa"/>
            <w:vAlign w:val="center"/>
          </w:tcPr>
          <w:p>
            <w:pPr>
              <w:snapToGrid w:val="0"/>
              <w:contextualSpacing/>
              <w:jc w:val="center"/>
              <w:rPr>
                <w:rFonts w:ascii="仿宋_GB2312" w:hAnsi="华文仿宋" w:eastAsia="仿宋_GB2312"/>
                <w:kern w:val="0"/>
                <w:sz w:val="16"/>
                <w:szCs w:val="16"/>
              </w:rPr>
            </w:pPr>
            <w:r>
              <w:rPr>
                <w:rFonts w:hint="eastAsia" w:ascii="仿宋_GB2312" w:hAnsi="华文仿宋" w:eastAsia="仿宋_GB2312"/>
                <w:kern w:val="0"/>
                <w:sz w:val="16"/>
                <w:szCs w:val="16"/>
              </w:rPr>
              <w:t>（秋）</w:t>
            </w:r>
          </w:p>
        </w:tc>
      </w:tr>
    </w:tbl>
    <w:p>
      <w:pPr>
        <w:spacing w:line="500" w:lineRule="exact"/>
        <w:jc w:val="center"/>
        <w:rPr>
          <w:rFonts w:ascii="仿宋" w:hAnsi="仿宋" w:eastAsia="仿宋" w:cs="仿宋"/>
          <w:color w:val="000000"/>
          <w:kern w:val="0"/>
          <w:sz w:val="28"/>
          <w:szCs w:val="28"/>
        </w:rPr>
      </w:pPr>
    </w:p>
    <w:p>
      <w:pPr>
        <w:spacing w:line="500" w:lineRule="exact"/>
        <w:jc w:val="center"/>
        <w:rPr>
          <w:rFonts w:ascii="仿宋" w:hAnsi="仿宋" w:eastAsia="仿宋" w:cs="仿宋"/>
          <w:color w:val="000000"/>
          <w:kern w:val="0"/>
          <w:sz w:val="28"/>
          <w:szCs w:val="28"/>
        </w:rPr>
      </w:pPr>
      <w:r>
        <w:rPr>
          <w:rFonts w:hint="eastAsia" w:ascii="仿宋" w:hAnsi="仿宋" w:eastAsia="仿宋" w:cs="仿宋"/>
          <w:color w:val="000000"/>
          <w:kern w:val="0"/>
          <w:sz w:val="28"/>
          <w:szCs w:val="28"/>
        </w:rPr>
        <w:t>表二：</w:t>
      </w:r>
      <w:r>
        <w:rPr>
          <w:rFonts w:hint="eastAsia" w:ascii="仿宋_GB2312" w:hAnsi="华文仿宋" w:eastAsia="仿宋_GB2312"/>
          <w:sz w:val="28"/>
          <w:szCs w:val="28"/>
        </w:rPr>
        <w:t>本专业补修课列表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9"/>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169" w:type="dxa"/>
          </w:tcPr>
          <w:p>
            <w:pPr>
              <w:widowControl/>
              <w:jc w:val="center"/>
              <w:rPr>
                <w:rFonts w:ascii="仿宋" w:hAnsi="仿宋" w:eastAsia="仿宋" w:cs="仿宋"/>
                <w:color w:val="000000"/>
                <w:kern w:val="0"/>
                <w:sz w:val="22"/>
                <w:szCs w:val="28"/>
              </w:rPr>
            </w:pPr>
            <w:r>
              <w:rPr>
                <w:rFonts w:hint="eastAsia" w:ascii="仿宋" w:hAnsi="仿宋" w:eastAsia="仿宋" w:cs="仿宋"/>
                <w:color w:val="000000"/>
                <w:kern w:val="0"/>
                <w:sz w:val="22"/>
                <w:szCs w:val="28"/>
              </w:rPr>
              <w:t>课程性质</w:t>
            </w:r>
          </w:p>
        </w:tc>
        <w:tc>
          <w:tcPr>
            <w:tcW w:w="5891" w:type="dxa"/>
          </w:tcPr>
          <w:p>
            <w:pPr>
              <w:widowControl/>
              <w:jc w:val="center"/>
              <w:rPr>
                <w:rFonts w:ascii="仿宋" w:hAnsi="仿宋" w:eastAsia="仿宋" w:cs="仿宋"/>
                <w:color w:val="000000"/>
                <w:kern w:val="0"/>
                <w:sz w:val="22"/>
                <w:szCs w:val="28"/>
              </w:rPr>
            </w:pPr>
            <w:r>
              <w:rPr>
                <w:rFonts w:hint="eastAsia" w:ascii="仿宋" w:hAnsi="仿宋" w:eastAsia="仿宋" w:cs="仿宋"/>
                <w:color w:val="000000"/>
                <w:kern w:val="0"/>
                <w:sz w:val="22"/>
                <w:szCs w:val="28"/>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restart"/>
          </w:tcPr>
          <w:p>
            <w:pPr>
              <w:widowControl/>
              <w:jc w:val="center"/>
              <w:rPr>
                <w:rFonts w:ascii="仿宋" w:hAnsi="仿宋" w:eastAsia="仿宋" w:cs="仿宋"/>
                <w:color w:val="000000"/>
                <w:kern w:val="0"/>
                <w:sz w:val="28"/>
                <w:szCs w:val="28"/>
              </w:rPr>
            </w:pPr>
            <w:r>
              <w:rPr>
                <w:rFonts w:hint="eastAsia" w:ascii="仿宋" w:hAnsi="仿宋" w:eastAsia="仿宋" w:cs="仿宋"/>
                <w:color w:val="000000"/>
                <w:kern w:val="0"/>
                <w:sz w:val="22"/>
                <w:szCs w:val="28"/>
              </w:rPr>
              <w:t>补修课</w:t>
            </w: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计算机组成原理</w:t>
            </w:r>
            <w:r>
              <w:rPr>
                <w:rFonts w:ascii="仿宋" w:hAnsi="仿宋" w:eastAsia="仿宋" w:cs="仿宋"/>
                <w:color w:val="000000"/>
                <w:kern w:val="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continue"/>
          </w:tcPr>
          <w:p>
            <w:pPr>
              <w:widowControl/>
              <w:jc w:val="center"/>
              <w:rPr>
                <w:rFonts w:ascii="仿宋" w:hAnsi="仿宋" w:eastAsia="仿宋" w:cs="仿宋"/>
                <w:color w:val="000000"/>
                <w:kern w:val="0"/>
                <w:sz w:val="28"/>
                <w:szCs w:val="28"/>
              </w:rPr>
            </w:pP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continue"/>
          </w:tcPr>
          <w:p>
            <w:pPr>
              <w:widowControl/>
              <w:jc w:val="center"/>
              <w:rPr>
                <w:rFonts w:ascii="仿宋" w:hAnsi="仿宋" w:eastAsia="仿宋" w:cs="仿宋"/>
                <w:color w:val="000000"/>
                <w:kern w:val="0"/>
                <w:sz w:val="28"/>
                <w:szCs w:val="28"/>
              </w:rPr>
            </w:pP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9" w:type="dxa"/>
            <w:vMerge w:val="continue"/>
          </w:tcPr>
          <w:p>
            <w:pPr>
              <w:widowControl/>
              <w:jc w:val="center"/>
              <w:rPr>
                <w:rFonts w:ascii="仿宋" w:hAnsi="仿宋" w:eastAsia="仿宋" w:cs="仿宋"/>
                <w:color w:val="000000"/>
                <w:kern w:val="0"/>
                <w:sz w:val="28"/>
                <w:szCs w:val="28"/>
              </w:rPr>
            </w:pPr>
          </w:p>
        </w:tc>
        <w:tc>
          <w:tcPr>
            <w:tcW w:w="5891" w:type="dxa"/>
          </w:tcPr>
          <w:p>
            <w:pPr>
              <w:widowControl/>
              <w:jc w:val="left"/>
              <w:rPr>
                <w:rFonts w:ascii="仿宋" w:hAnsi="仿宋" w:eastAsia="仿宋" w:cs="仿宋"/>
                <w:color w:val="000000"/>
                <w:kern w:val="0"/>
                <w:szCs w:val="21"/>
              </w:rPr>
            </w:pPr>
            <w:r>
              <w:rPr>
                <w:rFonts w:hint="eastAsia" w:ascii="仿宋" w:hAnsi="仿宋" w:eastAsia="仿宋" w:cs="仿宋"/>
                <w:color w:val="000000"/>
                <w:kern w:val="0"/>
                <w:szCs w:val="21"/>
              </w:rPr>
              <w:t>软件工程</w:t>
            </w:r>
          </w:p>
        </w:tc>
      </w:tr>
      <w:bookmarkEnd w:id="0"/>
    </w:tbl>
    <w:p>
      <w:pPr>
        <w:spacing w:line="500" w:lineRule="exact"/>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七、培养环节与要求</w:t>
      </w:r>
    </w:p>
    <w:p>
      <w:pPr>
        <w:adjustRightInd w:val="0"/>
        <w:snapToGrid w:val="0"/>
        <w:spacing w:line="500" w:lineRule="exact"/>
        <w:ind w:firstLine="560" w:firstLineChars="200"/>
        <w:jc w:val="left"/>
        <w:rPr>
          <w:rFonts w:ascii="仿宋" w:hAnsi="仿宋" w:eastAsia="仿宋" w:cs="仿宋"/>
          <w:color w:val="000000"/>
          <w:kern w:val="0"/>
          <w:sz w:val="28"/>
          <w:szCs w:val="28"/>
        </w:rPr>
      </w:pPr>
      <w:r>
        <w:rPr>
          <w:rFonts w:hint="eastAsia" w:ascii="仿宋_GB2312" w:hAnsi="宋体" w:eastAsia="仿宋_GB2312"/>
          <w:sz w:val="28"/>
          <w:szCs w:val="28"/>
        </w:rPr>
        <w:t>严格按照中山大学《学位与研究生教育工作手册》的有关规定执行，除完成课程学习任务并修满规定的学分外，要求研究生完成各个培养环节</w:t>
      </w:r>
      <w:r>
        <w:rPr>
          <w:rFonts w:hint="eastAsia" w:eastAsia="仿宋_GB2312"/>
          <w:sz w:val="28"/>
          <w:szCs w:val="28"/>
        </w:rPr>
        <w:t>规定的内容。主要环节及要求包括：</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、读书报告：学生在读期间应认真阅读一定数量的国内外文献（至少</w:t>
      </w:r>
      <w:r>
        <w:rPr>
          <w:rFonts w:ascii="仿宋_GB2312" w:hAnsi="宋体" w:eastAsia="仿宋_GB2312"/>
          <w:sz w:val="28"/>
          <w:szCs w:val="28"/>
        </w:rPr>
        <w:t xml:space="preserve"> 50 </w:t>
      </w:r>
      <w:r>
        <w:rPr>
          <w:rFonts w:hint="eastAsia" w:ascii="仿宋_GB2312" w:hAnsi="宋体" w:eastAsia="仿宋_GB2312"/>
          <w:sz w:val="28"/>
          <w:szCs w:val="28"/>
        </w:rPr>
        <w:t>篇），写出综述报告，由导师对研究生阅读文献进行检查。读书报告可结合开题报告进行。</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、学术活动：硕士研究生在学期间要求至少参加</w:t>
      </w:r>
      <w:r>
        <w:rPr>
          <w:rFonts w:ascii="仿宋_GB2312" w:hAnsi="宋体" w:eastAsia="仿宋_GB2312"/>
          <w:sz w:val="28"/>
          <w:szCs w:val="28"/>
        </w:rPr>
        <w:t xml:space="preserve"> 5 </w:t>
      </w:r>
      <w:r>
        <w:rPr>
          <w:rFonts w:hint="eastAsia" w:ascii="仿宋_GB2312" w:hAnsi="宋体" w:eastAsia="仿宋_GB2312"/>
          <w:sz w:val="28"/>
          <w:szCs w:val="28"/>
        </w:rPr>
        <w:t>次以上的学术讲座，学术活动在研究生学位论文答辩前完成。</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、预答辩环节：由指导小组组织预答辩，决定是否进入后续阶段。</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、论文评阅：按中山大学《学位与研究生教育工作手册》有关规定执行。</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7</w:t>
      </w:r>
      <w:r>
        <w:rPr>
          <w:rFonts w:hint="eastAsia" w:ascii="仿宋_GB2312" w:hAnsi="宋体" w:eastAsia="仿宋_GB2312"/>
          <w:sz w:val="28"/>
          <w:szCs w:val="28"/>
        </w:rPr>
        <w:t>、论文答辩：按中山大学《学位与研究生教育工作手册》有关规定执行。</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八、学位论文</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、严格按照《中山大学博士硕士学位授予工作细则》有关规定执行。</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、学生在导师指导下确定论文选题，选题应属于计算机科学与技术学科领域，具有较高的研究价值。</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、学位论文的内容可以是：理论研究、技术研究、工程与应用研究等。</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学位论文应具有较高的学术创新水平和工作量，具有较好的先进性、可行性，其相应的研究成果发表的质量及数量必须满足学院相关规定的要求，体现作者综合运用科学理论、方法和技术手段进行科学技术研究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九、论文答辩与学位授予</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、论文评审与答辩</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学生必须完成培养方案中规定的所有环节，成绩合格，修满规定学分，方可申请参加学位论文答辩。</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论文除经导师写出详细的评阅意见外，还应由</w:t>
      </w:r>
      <w:r>
        <w:rPr>
          <w:rFonts w:ascii="仿宋_GB2312" w:hAnsi="宋体" w:eastAsia="仿宋_GB2312"/>
          <w:sz w:val="28"/>
          <w:szCs w:val="28"/>
        </w:rPr>
        <w:t>2</w:t>
      </w: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名本领域或相近领域的专家评阅，通过评阅后方可参加答辩。</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答辩委员会应由</w:t>
      </w:r>
      <w:r>
        <w:rPr>
          <w:rFonts w:ascii="仿宋_GB2312" w:hAnsi="宋体" w:eastAsia="仿宋_GB2312"/>
          <w:sz w:val="28"/>
          <w:szCs w:val="28"/>
        </w:rPr>
        <w:t>3</w:t>
      </w:r>
      <w:r>
        <w:rPr>
          <w:rFonts w:hint="eastAsia" w:ascii="仿宋_GB2312" w:hAnsi="宋体" w:eastAsia="仿宋_GB2312"/>
          <w:sz w:val="28"/>
          <w:szCs w:val="28"/>
        </w:rPr>
        <w:t>～</w:t>
      </w:r>
      <w:r>
        <w:rPr>
          <w:rFonts w:ascii="仿宋_GB2312" w:hAnsi="宋体" w:eastAsia="仿宋_GB2312"/>
          <w:sz w:val="28"/>
          <w:szCs w:val="28"/>
        </w:rPr>
        <w:t>5</w:t>
      </w:r>
      <w:r>
        <w:rPr>
          <w:rFonts w:hint="eastAsia" w:ascii="仿宋_GB2312" w:hAnsi="宋体" w:eastAsia="仿宋_GB2312"/>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、毕业与学位授予</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eastAsia="仿宋_GB2312"/>
          <w:sz w:val="28"/>
          <w:szCs w:val="28"/>
        </w:rPr>
        <w:t>按照《中山大学博士硕士学位授予工作细则》要求执行。在符合学校有关规定基本要求的前提下，研究成果满足学校和学院的相关要求和规定，完成硕士论文并通过论文答辩者，按一级学科，</w:t>
      </w:r>
      <w:r>
        <w:rPr>
          <w:rFonts w:hint="eastAsia" w:ascii="仿宋_GB2312" w:hAnsi="宋体" w:eastAsia="仿宋_GB2312"/>
          <w:sz w:val="28"/>
          <w:szCs w:val="28"/>
        </w:rPr>
        <w:t>授予计算机科学与技术学术硕士学位。</w:t>
      </w:r>
    </w:p>
    <w:p>
      <w:pPr>
        <w:adjustRightInd w:val="0"/>
        <w:snapToGrid w:val="0"/>
        <w:spacing w:line="500" w:lineRule="exact"/>
        <w:ind w:firstLine="560" w:firstLineChars="200"/>
        <w:jc w:val="left"/>
        <w:rPr>
          <w:rFonts w:ascii="仿宋_GB2312" w:hAnsi="华文仿宋" w:eastAsia="仿宋_GB2312"/>
          <w:sz w:val="28"/>
          <w:szCs w:val="28"/>
        </w:rPr>
      </w:pPr>
    </w:p>
    <w:p>
      <w:pPr>
        <w:adjustRightInd w:val="0"/>
        <w:snapToGrid w:val="0"/>
        <w:spacing w:line="500" w:lineRule="exact"/>
        <w:jc w:val="left"/>
        <w:rPr>
          <w:rFonts w:ascii="仿宋_GB2312" w:hAnsi="宋体" w:eastAsia="仿宋_GB2312"/>
          <w:b/>
          <w:sz w:val="28"/>
          <w:szCs w:val="28"/>
        </w:rPr>
      </w:pPr>
      <w:r>
        <w:rPr>
          <w:rFonts w:ascii="仿宋_GB2312" w:hAnsi="宋体" w:eastAsia="仿宋_GB2312"/>
          <w:sz w:val="28"/>
          <w:szCs w:val="28"/>
        </w:rPr>
        <w:t xml:space="preserve"> </w:t>
      </w:r>
      <w:r>
        <w:rPr>
          <w:rFonts w:hint="eastAsia" w:ascii="仿宋_GB2312" w:hAnsi="宋体" w:eastAsia="仿宋_GB2312"/>
          <w:b/>
          <w:sz w:val="28"/>
          <w:szCs w:val="28"/>
        </w:rPr>
        <w:t>十、必读和选读书目</w:t>
      </w:r>
    </w:p>
    <w:p>
      <w:pPr>
        <w:adjustRightInd w:val="0"/>
        <w:snapToGrid w:val="0"/>
        <w:spacing w:line="500" w:lineRule="exact"/>
        <w:jc w:val="left"/>
        <w:rPr>
          <w:rFonts w:ascii="仿宋_GB2312" w:hAnsi="宋体" w:eastAsia="仿宋_GB2312"/>
          <w:sz w:val="28"/>
          <w:szCs w:val="28"/>
        </w:rPr>
      </w:pPr>
    </w:p>
    <w:tbl>
      <w:tblPr>
        <w:tblStyle w:val="20"/>
        <w:tblW w:w="90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4571"/>
        <w:gridCol w:w="1296"/>
        <w:gridCol w:w="939"/>
        <w:gridCol w:w="937"/>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674"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序号</w:t>
            </w:r>
          </w:p>
        </w:tc>
        <w:tc>
          <w:tcPr>
            <w:tcW w:w="4571"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著作或期刊名</w:t>
            </w:r>
          </w:p>
        </w:tc>
        <w:tc>
          <w:tcPr>
            <w:tcW w:w="1296"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作者及出版社</w:t>
            </w:r>
          </w:p>
        </w:tc>
        <w:tc>
          <w:tcPr>
            <w:tcW w:w="939"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必</w:t>
            </w:r>
            <w:r>
              <w:rPr>
                <w:rFonts w:ascii="仿宋_GB2312" w:hAnsi="仿宋" w:eastAsia="仿宋_GB2312"/>
                <w:bCs/>
                <w:sz w:val="18"/>
                <w:szCs w:val="18"/>
              </w:rPr>
              <w:t>(</w:t>
            </w:r>
            <w:r>
              <w:rPr>
                <w:rFonts w:hint="eastAsia" w:ascii="仿宋_GB2312" w:hAnsi="仿宋" w:eastAsia="仿宋_GB2312"/>
                <w:bCs/>
                <w:sz w:val="18"/>
                <w:szCs w:val="18"/>
              </w:rPr>
              <w:t>选</w:t>
            </w:r>
            <w:r>
              <w:rPr>
                <w:rFonts w:ascii="仿宋_GB2312" w:hAnsi="仿宋" w:eastAsia="仿宋_GB2312"/>
                <w:bCs/>
                <w:sz w:val="18"/>
                <w:szCs w:val="18"/>
              </w:rPr>
              <w:t>)</w:t>
            </w:r>
            <w:r>
              <w:rPr>
                <w:rFonts w:hint="eastAsia" w:ascii="仿宋_GB2312" w:hAnsi="仿宋" w:eastAsia="仿宋_GB2312"/>
                <w:bCs/>
                <w:sz w:val="18"/>
                <w:szCs w:val="18"/>
              </w:rPr>
              <w:t>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考核方式</w:t>
            </w:r>
          </w:p>
        </w:tc>
        <w:tc>
          <w:tcPr>
            <w:tcW w:w="642"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1</w:t>
            </w:r>
          </w:p>
        </w:tc>
        <w:tc>
          <w:tcPr>
            <w:tcW w:w="4571"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r>
              <w:rPr>
                <w:rFonts w:hint="eastAsia" w:ascii="仿宋_GB2312" w:hAnsi="仿宋" w:eastAsia="仿宋_GB2312"/>
                <w:bCs/>
                <w:sz w:val="18"/>
                <w:szCs w:val="18"/>
              </w:rPr>
              <w:t>等相关刊物</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7"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2</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中国科学</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科学通报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Journal of Computer Science and Technology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软件学报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计算机研究与发展</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等计算机类学报</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3</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电子学报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通信学报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自动化学报</w:t>
            </w:r>
            <w:r>
              <w:rPr>
                <w:rFonts w:ascii="仿宋_GB2312" w:hAnsi="仿宋" w:eastAsia="仿宋_GB2312"/>
                <w:bCs/>
                <w:sz w:val="18"/>
                <w:szCs w:val="18"/>
              </w:rPr>
              <w:t xml:space="preserve"> </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4</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导师指定的参考书目</w:t>
            </w:r>
          </w:p>
        </w:tc>
        <w:tc>
          <w:tcPr>
            <w:tcW w:w="1296"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bl>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黑体"/>
          <w:bCs/>
          <w:color w:val="000000"/>
          <w:sz w:val="28"/>
          <w:szCs w:val="28"/>
        </w:rPr>
      </w:pPr>
      <w:r>
        <w:rPr>
          <w:rFonts w:hint="eastAsia" w:eastAsia="黑体"/>
          <w:bCs/>
          <w:color w:val="000000"/>
          <w:sz w:val="28"/>
          <w:szCs w:val="28"/>
        </w:rPr>
        <w:t>负责人</w:t>
      </w:r>
      <w:r>
        <w:rPr>
          <w:rFonts w:eastAsia="黑体"/>
          <w:bCs/>
          <w:color w:val="000000"/>
          <w:sz w:val="28"/>
          <w:szCs w:val="28"/>
        </w:rPr>
        <w:t>:</w:t>
      </w:r>
    </w:p>
    <w:p>
      <w:pPr>
        <w:snapToGrid w:val="0"/>
        <w:spacing w:line="360" w:lineRule="auto"/>
        <w:ind w:firstLine="4340" w:firstLineChars="1550"/>
      </w:pPr>
      <w:r>
        <w:rPr>
          <w:rFonts w:hint="eastAsia" w:eastAsia="黑体"/>
          <w:bCs/>
          <w:color w:val="000000"/>
          <w:sz w:val="28"/>
          <w:szCs w:val="28"/>
        </w:rPr>
        <w:t>修订日期：　　年</w:t>
      </w:r>
      <w:r>
        <w:rPr>
          <w:rFonts w:eastAsia="黑体"/>
          <w:bCs/>
          <w:color w:val="000000"/>
          <w:sz w:val="28"/>
          <w:szCs w:val="28"/>
        </w:rPr>
        <w:t xml:space="preserve">    </w:t>
      </w:r>
      <w:r>
        <w:rPr>
          <w:rFonts w:hint="eastAsia" w:eastAsia="黑体"/>
          <w:bCs/>
          <w:color w:val="000000"/>
          <w:sz w:val="28"/>
          <w:szCs w:val="28"/>
        </w:rPr>
        <w:t>月</w:t>
      </w:r>
      <w:r>
        <w:rPr>
          <w:rFonts w:eastAsia="黑体"/>
          <w:bCs/>
          <w:color w:val="000000"/>
          <w:sz w:val="28"/>
          <w:szCs w:val="28"/>
        </w:rPr>
        <w:t xml:space="preserve">    </w:t>
      </w:r>
      <w:r>
        <w:rPr>
          <w:rFonts w:hint="eastAsia" w:eastAsia="黑体"/>
          <w:bCs/>
          <w:color w:val="000000"/>
          <w:sz w:val="28"/>
          <w:szCs w:val="28"/>
        </w:rPr>
        <w:t>日</w:t>
      </w:r>
    </w:p>
    <w:sectPr>
      <w:footerReference r:id="rId3" w:type="default"/>
      <w:footerReference r:id="rId4" w:type="even"/>
      <w:pgSz w:w="11906" w:h="16838"/>
      <w:pgMar w:top="1418" w:right="1418" w:bottom="1418" w:left="1418" w:header="851" w:footer="153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page" w:x="1375" w:y="275"/>
      <w:ind w:firstLine="8120" w:firstLineChars="2900"/>
      <w:jc w:val="right"/>
      <w:rPr>
        <w:rStyle w:val="23"/>
        <w:sz w:val="28"/>
      </w:rPr>
    </w:pPr>
    <w:r>
      <w:rPr>
        <w:rStyle w:val="23"/>
        <w:sz w:val="28"/>
      </w:rPr>
      <w:t>—</w:t>
    </w:r>
    <w:r>
      <w:rPr>
        <w:rStyle w:val="23"/>
        <w:sz w:val="28"/>
      </w:rPr>
      <w:fldChar w:fldCharType="begin"/>
    </w:r>
    <w:r>
      <w:rPr>
        <w:rStyle w:val="23"/>
        <w:sz w:val="28"/>
      </w:rPr>
      <w:instrText xml:space="preserve">PAGE  </w:instrText>
    </w:r>
    <w:r>
      <w:rPr>
        <w:rStyle w:val="23"/>
        <w:sz w:val="28"/>
      </w:rPr>
      <w:fldChar w:fldCharType="separate"/>
    </w:r>
    <w:r>
      <w:rPr>
        <w:rStyle w:val="23"/>
        <w:sz w:val="28"/>
      </w:rPr>
      <w:t>2</w:t>
    </w:r>
    <w:r>
      <w:rPr>
        <w:rStyle w:val="23"/>
        <w:sz w:val="28"/>
      </w:rPr>
      <w:fldChar w:fldCharType="end"/>
    </w:r>
    <w:r>
      <w:rPr>
        <w:rStyle w:val="23"/>
        <w:sz w:val="28"/>
      </w:rPr>
      <w:t>—</w:t>
    </w:r>
  </w:p>
  <w:p>
    <w:pPr>
      <w:pStyle w:val="13"/>
      <w:framePr w:wrap="around" w:vAnchor="text" w:hAnchor="page" w:x="1375" w:y="275"/>
      <w:ind w:right="360" w:firstLine="360"/>
      <w:rPr>
        <w:rStyle w:val="23"/>
      </w:rPr>
    </w:pPr>
  </w:p>
  <w:p>
    <w:pPr>
      <w:pStyle w:val="1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rPr>
      <w:t>1</w:t>
    </w:r>
    <w:r>
      <w:rPr>
        <w:rStyle w:val="23"/>
      </w:rPr>
      <w:fldChar w:fldCharType="end"/>
    </w:r>
  </w:p>
  <w:p>
    <w:pPr>
      <w:pStyle w:val="1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C32"/>
    <w:rsid w:val="00006388"/>
    <w:rsid w:val="000117D0"/>
    <w:rsid w:val="00014EB2"/>
    <w:rsid w:val="00022F78"/>
    <w:rsid w:val="0004282D"/>
    <w:rsid w:val="00043019"/>
    <w:rsid w:val="00044457"/>
    <w:rsid w:val="000457AC"/>
    <w:rsid w:val="00051ABB"/>
    <w:rsid w:val="00054D30"/>
    <w:rsid w:val="00061564"/>
    <w:rsid w:val="00074426"/>
    <w:rsid w:val="0008275F"/>
    <w:rsid w:val="00082B84"/>
    <w:rsid w:val="00085796"/>
    <w:rsid w:val="000875F0"/>
    <w:rsid w:val="000902F4"/>
    <w:rsid w:val="000A44A7"/>
    <w:rsid w:val="000A6004"/>
    <w:rsid w:val="000A632D"/>
    <w:rsid w:val="000B0F7C"/>
    <w:rsid w:val="000B5348"/>
    <w:rsid w:val="000C4713"/>
    <w:rsid w:val="000C5D46"/>
    <w:rsid w:val="000D1FF1"/>
    <w:rsid w:val="000D7B9F"/>
    <w:rsid w:val="000E4743"/>
    <w:rsid w:val="000F77C0"/>
    <w:rsid w:val="00101373"/>
    <w:rsid w:val="001078F2"/>
    <w:rsid w:val="00110D6A"/>
    <w:rsid w:val="00113061"/>
    <w:rsid w:val="00123011"/>
    <w:rsid w:val="001245F8"/>
    <w:rsid w:val="001324D9"/>
    <w:rsid w:val="0015268B"/>
    <w:rsid w:val="001604EC"/>
    <w:rsid w:val="00171ABF"/>
    <w:rsid w:val="0017737B"/>
    <w:rsid w:val="00182301"/>
    <w:rsid w:val="00185881"/>
    <w:rsid w:val="001A4F12"/>
    <w:rsid w:val="001B129D"/>
    <w:rsid w:val="001B269D"/>
    <w:rsid w:val="001F427E"/>
    <w:rsid w:val="001F65F9"/>
    <w:rsid w:val="001F744E"/>
    <w:rsid w:val="002042A5"/>
    <w:rsid w:val="002049B9"/>
    <w:rsid w:val="00211CEA"/>
    <w:rsid w:val="00217BB3"/>
    <w:rsid w:val="00225B1A"/>
    <w:rsid w:val="002454AD"/>
    <w:rsid w:val="002459C4"/>
    <w:rsid w:val="00261E5C"/>
    <w:rsid w:val="00273698"/>
    <w:rsid w:val="002A4B1D"/>
    <w:rsid w:val="002B4232"/>
    <w:rsid w:val="002B7C66"/>
    <w:rsid w:val="002D52E4"/>
    <w:rsid w:val="002D6540"/>
    <w:rsid w:val="002D6C0A"/>
    <w:rsid w:val="002E0EDF"/>
    <w:rsid w:val="002E5A64"/>
    <w:rsid w:val="002E6CA5"/>
    <w:rsid w:val="002F3FB6"/>
    <w:rsid w:val="002F4DCC"/>
    <w:rsid w:val="002F6A6D"/>
    <w:rsid w:val="00302E67"/>
    <w:rsid w:val="0031016C"/>
    <w:rsid w:val="003102D9"/>
    <w:rsid w:val="00312713"/>
    <w:rsid w:val="0032144A"/>
    <w:rsid w:val="0032269E"/>
    <w:rsid w:val="003267EC"/>
    <w:rsid w:val="003277E3"/>
    <w:rsid w:val="00332329"/>
    <w:rsid w:val="0033339E"/>
    <w:rsid w:val="00343546"/>
    <w:rsid w:val="0037679B"/>
    <w:rsid w:val="003767AE"/>
    <w:rsid w:val="003773FA"/>
    <w:rsid w:val="003775EE"/>
    <w:rsid w:val="00377733"/>
    <w:rsid w:val="003857E8"/>
    <w:rsid w:val="003915C3"/>
    <w:rsid w:val="003A76CD"/>
    <w:rsid w:val="003B469A"/>
    <w:rsid w:val="003B5028"/>
    <w:rsid w:val="003C0B47"/>
    <w:rsid w:val="003C1D5C"/>
    <w:rsid w:val="003C3E7F"/>
    <w:rsid w:val="003C5713"/>
    <w:rsid w:val="003E509B"/>
    <w:rsid w:val="004016BB"/>
    <w:rsid w:val="00402882"/>
    <w:rsid w:val="004040A3"/>
    <w:rsid w:val="004051F7"/>
    <w:rsid w:val="0040711C"/>
    <w:rsid w:val="00414AAD"/>
    <w:rsid w:val="004166AF"/>
    <w:rsid w:val="004170EF"/>
    <w:rsid w:val="004244F0"/>
    <w:rsid w:val="00433E80"/>
    <w:rsid w:val="0043684B"/>
    <w:rsid w:val="00440FF4"/>
    <w:rsid w:val="00442416"/>
    <w:rsid w:val="004551E0"/>
    <w:rsid w:val="004656A0"/>
    <w:rsid w:val="00474823"/>
    <w:rsid w:val="0048409B"/>
    <w:rsid w:val="004855C4"/>
    <w:rsid w:val="00486723"/>
    <w:rsid w:val="004953F0"/>
    <w:rsid w:val="004A4779"/>
    <w:rsid w:val="004A63B1"/>
    <w:rsid w:val="004B2E3E"/>
    <w:rsid w:val="004B4723"/>
    <w:rsid w:val="004C08F1"/>
    <w:rsid w:val="004D4508"/>
    <w:rsid w:val="004D6D5F"/>
    <w:rsid w:val="004E1E33"/>
    <w:rsid w:val="004F0197"/>
    <w:rsid w:val="004F314C"/>
    <w:rsid w:val="004F4A7A"/>
    <w:rsid w:val="004F6DA8"/>
    <w:rsid w:val="004F7BA8"/>
    <w:rsid w:val="005122A2"/>
    <w:rsid w:val="005153BD"/>
    <w:rsid w:val="00521814"/>
    <w:rsid w:val="005253E7"/>
    <w:rsid w:val="005330CE"/>
    <w:rsid w:val="00540ED9"/>
    <w:rsid w:val="00550F64"/>
    <w:rsid w:val="00553052"/>
    <w:rsid w:val="00561988"/>
    <w:rsid w:val="005738D9"/>
    <w:rsid w:val="00582B6E"/>
    <w:rsid w:val="005837A4"/>
    <w:rsid w:val="005863DE"/>
    <w:rsid w:val="005D59B9"/>
    <w:rsid w:val="005D6676"/>
    <w:rsid w:val="005D677B"/>
    <w:rsid w:val="005E0000"/>
    <w:rsid w:val="005E7436"/>
    <w:rsid w:val="005F75DB"/>
    <w:rsid w:val="006036AE"/>
    <w:rsid w:val="0062436C"/>
    <w:rsid w:val="006428C0"/>
    <w:rsid w:val="00645D55"/>
    <w:rsid w:val="006510C3"/>
    <w:rsid w:val="0065365C"/>
    <w:rsid w:val="00653718"/>
    <w:rsid w:val="006551C7"/>
    <w:rsid w:val="006608FE"/>
    <w:rsid w:val="006703E1"/>
    <w:rsid w:val="00683357"/>
    <w:rsid w:val="00685C47"/>
    <w:rsid w:val="00690262"/>
    <w:rsid w:val="006B3C32"/>
    <w:rsid w:val="006B5B66"/>
    <w:rsid w:val="006C671A"/>
    <w:rsid w:val="006C6ADE"/>
    <w:rsid w:val="006D4A36"/>
    <w:rsid w:val="006E15E8"/>
    <w:rsid w:val="006E60DB"/>
    <w:rsid w:val="006E62CD"/>
    <w:rsid w:val="006F03CD"/>
    <w:rsid w:val="006F3972"/>
    <w:rsid w:val="006F687B"/>
    <w:rsid w:val="00707995"/>
    <w:rsid w:val="0071558A"/>
    <w:rsid w:val="007419F6"/>
    <w:rsid w:val="007502DB"/>
    <w:rsid w:val="007601C2"/>
    <w:rsid w:val="0077174B"/>
    <w:rsid w:val="00772253"/>
    <w:rsid w:val="00772A69"/>
    <w:rsid w:val="00774322"/>
    <w:rsid w:val="00784B77"/>
    <w:rsid w:val="00793C19"/>
    <w:rsid w:val="007A1E8F"/>
    <w:rsid w:val="007B192A"/>
    <w:rsid w:val="007B4D32"/>
    <w:rsid w:val="007C7F07"/>
    <w:rsid w:val="007D00D1"/>
    <w:rsid w:val="007D38A5"/>
    <w:rsid w:val="007D7518"/>
    <w:rsid w:val="007E00E7"/>
    <w:rsid w:val="007E4DA7"/>
    <w:rsid w:val="007E549B"/>
    <w:rsid w:val="007F0B5B"/>
    <w:rsid w:val="008002CE"/>
    <w:rsid w:val="008009EE"/>
    <w:rsid w:val="00800A66"/>
    <w:rsid w:val="008034CC"/>
    <w:rsid w:val="00812937"/>
    <w:rsid w:val="00823C7F"/>
    <w:rsid w:val="00824787"/>
    <w:rsid w:val="00824E58"/>
    <w:rsid w:val="008307C5"/>
    <w:rsid w:val="00834D95"/>
    <w:rsid w:val="008558BD"/>
    <w:rsid w:val="00857D9F"/>
    <w:rsid w:val="00863D75"/>
    <w:rsid w:val="008676B8"/>
    <w:rsid w:val="00874452"/>
    <w:rsid w:val="008759A5"/>
    <w:rsid w:val="0088386F"/>
    <w:rsid w:val="00885733"/>
    <w:rsid w:val="00886747"/>
    <w:rsid w:val="008A1CDB"/>
    <w:rsid w:val="008A21E1"/>
    <w:rsid w:val="008A4B4B"/>
    <w:rsid w:val="008A74CD"/>
    <w:rsid w:val="008D1FAA"/>
    <w:rsid w:val="008D794B"/>
    <w:rsid w:val="008F58EB"/>
    <w:rsid w:val="00904D53"/>
    <w:rsid w:val="009107C6"/>
    <w:rsid w:val="00912D49"/>
    <w:rsid w:val="009148B9"/>
    <w:rsid w:val="0092119F"/>
    <w:rsid w:val="009300D4"/>
    <w:rsid w:val="0093235F"/>
    <w:rsid w:val="00934515"/>
    <w:rsid w:val="009375C8"/>
    <w:rsid w:val="00941AD7"/>
    <w:rsid w:val="009575ED"/>
    <w:rsid w:val="009577F3"/>
    <w:rsid w:val="00960233"/>
    <w:rsid w:val="00963D25"/>
    <w:rsid w:val="00970A35"/>
    <w:rsid w:val="00972B48"/>
    <w:rsid w:val="00972BD0"/>
    <w:rsid w:val="00974086"/>
    <w:rsid w:val="00975DDA"/>
    <w:rsid w:val="009800F6"/>
    <w:rsid w:val="00980FCB"/>
    <w:rsid w:val="00987083"/>
    <w:rsid w:val="00997BBD"/>
    <w:rsid w:val="009A2BF6"/>
    <w:rsid w:val="009B0FAA"/>
    <w:rsid w:val="009C6D96"/>
    <w:rsid w:val="009D03E5"/>
    <w:rsid w:val="009D4A7D"/>
    <w:rsid w:val="009E35AF"/>
    <w:rsid w:val="009E60A6"/>
    <w:rsid w:val="009E6CEE"/>
    <w:rsid w:val="009F0B8B"/>
    <w:rsid w:val="009F2684"/>
    <w:rsid w:val="009F47DE"/>
    <w:rsid w:val="009F4E9E"/>
    <w:rsid w:val="00A00529"/>
    <w:rsid w:val="00A1192E"/>
    <w:rsid w:val="00A11D56"/>
    <w:rsid w:val="00A17EA8"/>
    <w:rsid w:val="00A267BC"/>
    <w:rsid w:val="00A26ACC"/>
    <w:rsid w:val="00A31264"/>
    <w:rsid w:val="00A323CA"/>
    <w:rsid w:val="00A41075"/>
    <w:rsid w:val="00A41194"/>
    <w:rsid w:val="00A43039"/>
    <w:rsid w:val="00A45142"/>
    <w:rsid w:val="00A50A8D"/>
    <w:rsid w:val="00A53F00"/>
    <w:rsid w:val="00A55F25"/>
    <w:rsid w:val="00A6175B"/>
    <w:rsid w:val="00A6524B"/>
    <w:rsid w:val="00A67F4E"/>
    <w:rsid w:val="00A70C03"/>
    <w:rsid w:val="00A7305A"/>
    <w:rsid w:val="00A84921"/>
    <w:rsid w:val="00A9040F"/>
    <w:rsid w:val="00A90D48"/>
    <w:rsid w:val="00A91DA4"/>
    <w:rsid w:val="00A93360"/>
    <w:rsid w:val="00A9481B"/>
    <w:rsid w:val="00AA0853"/>
    <w:rsid w:val="00AA20C9"/>
    <w:rsid w:val="00AB155B"/>
    <w:rsid w:val="00AB5394"/>
    <w:rsid w:val="00AC534C"/>
    <w:rsid w:val="00AC6801"/>
    <w:rsid w:val="00AD0F64"/>
    <w:rsid w:val="00B245E6"/>
    <w:rsid w:val="00B26148"/>
    <w:rsid w:val="00B30E32"/>
    <w:rsid w:val="00B40E8C"/>
    <w:rsid w:val="00B45F35"/>
    <w:rsid w:val="00B70A2A"/>
    <w:rsid w:val="00B74268"/>
    <w:rsid w:val="00B7673F"/>
    <w:rsid w:val="00B77433"/>
    <w:rsid w:val="00B827E1"/>
    <w:rsid w:val="00B85213"/>
    <w:rsid w:val="00B8778E"/>
    <w:rsid w:val="00BA2C1A"/>
    <w:rsid w:val="00BA7A15"/>
    <w:rsid w:val="00BC4CD1"/>
    <w:rsid w:val="00BC7960"/>
    <w:rsid w:val="00BD296B"/>
    <w:rsid w:val="00BD5CC5"/>
    <w:rsid w:val="00BD7FF0"/>
    <w:rsid w:val="00BE6983"/>
    <w:rsid w:val="00BF5F3F"/>
    <w:rsid w:val="00C02B5B"/>
    <w:rsid w:val="00C11294"/>
    <w:rsid w:val="00C12AA3"/>
    <w:rsid w:val="00C13325"/>
    <w:rsid w:val="00C23C70"/>
    <w:rsid w:val="00C2505B"/>
    <w:rsid w:val="00C30438"/>
    <w:rsid w:val="00C368B3"/>
    <w:rsid w:val="00C43516"/>
    <w:rsid w:val="00C671CF"/>
    <w:rsid w:val="00C72439"/>
    <w:rsid w:val="00C8143C"/>
    <w:rsid w:val="00C830DF"/>
    <w:rsid w:val="00C85A01"/>
    <w:rsid w:val="00C87C6B"/>
    <w:rsid w:val="00C91399"/>
    <w:rsid w:val="00C9218C"/>
    <w:rsid w:val="00C97625"/>
    <w:rsid w:val="00C976E3"/>
    <w:rsid w:val="00CA1290"/>
    <w:rsid w:val="00CA1D43"/>
    <w:rsid w:val="00CC64E7"/>
    <w:rsid w:val="00CD253A"/>
    <w:rsid w:val="00CD773E"/>
    <w:rsid w:val="00CE20E2"/>
    <w:rsid w:val="00CE3164"/>
    <w:rsid w:val="00CE672B"/>
    <w:rsid w:val="00CF4721"/>
    <w:rsid w:val="00D00B40"/>
    <w:rsid w:val="00D13BE0"/>
    <w:rsid w:val="00D16882"/>
    <w:rsid w:val="00D233C0"/>
    <w:rsid w:val="00D23C69"/>
    <w:rsid w:val="00D34AAE"/>
    <w:rsid w:val="00D36075"/>
    <w:rsid w:val="00D40048"/>
    <w:rsid w:val="00D45665"/>
    <w:rsid w:val="00D57F0A"/>
    <w:rsid w:val="00D6353B"/>
    <w:rsid w:val="00D74F7C"/>
    <w:rsid w:val="00D82854"/>
    <w:rsid w:val="00D92B34"/>
    <w:rsid w:val="00D96032"/>
    <w:rsid w:val="00DA6489"/>
    <w:rsid w:val="00DB0A46"/>
    <w:rsid w:val="00DB58EF"/>
    <w:rsid w:val="00DC3D0B"/>
    <w:rsid w:val="00DC6CD0"/>
    <w:rsid w:val="00DE0965"/>
    <w:rsid w:val="00DE58A3"/>
    <w:rsid w:val="00DF06FD"/>
    <w:rsid w:val="00E02682"/>
    <w:rsid w:val="00E0278E"/>
    <w:rsid w:val="00E0411D"/>
    <w:rsid w:val="00E044E1"/>
    <w:rsid w:val="00E060D9"/>
    <w:rsid w:val="00E12DCB"/>
    <w:rsid w:val="00E2202C"/>
    <w:rsid w:val="00E253AA"/>
    <w:rsid w:val="00E26D61"/>
    <w:rsid w:val="00E3019F"/>
    <w:rsid w:val="00E60C92"/>
    <w:rsid w:val="00E65EF8"/>
    <w:rsid w:val="00E706CD"/>
    <w:rsid w:val="00E71010"/>
    <w:rsid w:val="00E71C21"/>
    <w:rsid w:val="00E8036C"/>
    <w:rsid w:val="00E86190"/>
    <w:rsid w:val="00E90A40"/>
    <w:rsid w:val="00E97C60"/>
    <w:rsid w:val="00EB1D4A"/>
    <w:rsid w:val="00EC19E2"/>
    <w:rsid w:val="00ED02AB"/>
    <w:rsid w:val="00ED0731"/>
    <w:rsid w:val="00EF0B92"/>
    <w:rsid w:val="00EF1858"/>
    <w:rsid w:val="00EF52AC"/>
    <w:rsid w:val="00F004D7"/>
    <w:rsid w:val="00F03EBD"/>
    <w:rsid w:val="00F21949"/>
    <w:rsid w:val="00F2392C"/>
    <w:rsid w:val="00F31CD6"/>
    <w:rsid w:val="00F462F9"/>
    <w:rsid w:val="00F50B8B"/>
    <w:rsid w:val="00F564FD"/>
    <w:rsid w:val="00F631D5"/>
    <w:rsid w:val="00F63473"/>
    <w:rsid w:val="00F67295"/>
    <w:rsid w:val="00F72232"/>
    <w:rsid w:val="00F76354"/>
    <w:rsid w:val="00F86D79"/>
    <w:rsid w:val="00F97C4B"/>
    <w:rsid w:val="00FA6D22"/>
    <w:rsid w:val="00FB3467"/>
    <w:rsid w:val="00FB417D"/>
    <w:rsid w:val="00FB4F6E"/>
    <w:rsid w:val="00FB5345"/>
    <w:rsid w:val="00FB6636"/>
    <w:rsid w:val="00FC3875"/>
    <w:rsid w:val="00FD58D9"/>
    <w:rsid w:val="00FD788F"/>
    <w:rsid w:val="00FD7A38"/>
    <w:rsid w:val="00FE1A95"/>
    <w:rsid w:val="02866E24"/>
    <w:rsid w:val="02FA2A27"/>
    <w:rsid w:val="057A5467"/>
    <w:rsid w:val="059659D3"/>
    <w:rsid w:val="06907681"/>
    <w:rsid w:val="0BE97220"/>
    <w:rsid w:val="0D626A8C"/>
    <w:rsid w:val="15BA5A30"/>
    <w:rsid w:val="1AA1563A"/>
    <w:rsid w:val="1DD40EFC"/>
    <w:rsid w:val="1E0E54F9"/>
    <w:rsid w:val="3029234A"/>
    <w:rsid w:val="330F6BBD"/>
    <w:rsid w:val="35516316"/>
    <w:rsid w:val="379C1839"/>
    <w:rsid w:val="3A5D26A0"/>
    <w:rsid w:val="3E8B25DF"/>
    <w:rsid w:val="3FDF7C68"/>
    <w:rsid w:val="40457AE6"/>
    <w:rsid w:val="41A37D3C"/>
    <w:rsid w:val="459B6392"/>
    <w:rsid w:val="4A9063B7"/>
    <w:rsid w:val="4B0C549B"/>
    <w:rsid w:val="4C8D53A9"/>
    <w:rsid w:val="50EB080E"/>
    <w:rsid w:val="519150A0"/>
    <w:rsid w:val="58A76747"/>
    <w:rsid w:val="5D157C8B"/>
    <w:rsid w:val="5E400AE7"/>
    <w:rsid w:val="600874E0"/>
    <w:rsid w:val="617578A2"/>
    <w:rsid w:val="61896CD5"/>
    <w:rsid w:val="66355AAF"/>
    <w:rsid w:val="6745181E"/>
    <w:rsid w:val="6B9C4718"/>
    <w:rsid w:val="6BD43A89"/>
    <w:rsid w:val="6DBE2C1F"/>
    <w:rsid w:val="6EB1037C"/>
    <w:rsid w:val="70A473CC"/>
    <w:rsid w:val="713B2AFD"/>
    <w:rsid w:val="74F839C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unhideWhenUsed="0" w:uiPriority="9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nhideWhenUsed="0" w:uiPriority="99" w:semiHidden="0" w:name="annotation text"/>
    <w:lsdException w:unhideWhenUsed="0" w:uiPriority="99" w:semiHidden="0" w:name="header"/>
    <w:lsdException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semiHidden="0" w:name="annotation reference"/>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nhideWhenUsed="0" w:uiPriority="99"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nhideWhenUsed="0" w:uiPriority="99" w:semiHidden="0" w:name="Body Text Indent 2"/>
    <w:lsdException w:unhideWhenUsed="0" w:uiPriority="99" w:semiHidden="0" w:name="Body Text Indent 3"/>
    <w:lsdException w:uiPriority="99" w:name="Block Text" w:locked="1"/>
    <w:lsdException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nhideWhenUsed="0" w:uiPriority="99" w:name="Document Map"/>
    <w:lsdException w:qFormat="1" w:unhideWhenUsed="0" w:uiPriority="99" w:semiHidden="0" w:name="Plain Text"/>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nhideWhenUsed="0" w:uiPriority="99" w:semiHidden="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6"/>
    <w:qFormat/>
    <w:uiPriority w:val="9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7"/>
    <w:qFormat/>
    <w:uiPriority w:val="99"/>
    <w:pPr>
      <w:keepNext/>
      <w:keepLines/>
      <w:spacing w:before="260" w:after="260" w:line="416" w:lineRule="auto"/>
      <w:jc w:val="center"/>
      <w:outlineLvl w:val="1"/>
    </w:pPr>
    <w:rPr>
      <w:rFonts w:ascii="Cambria" w:hAnsi="Cambria"/>
      <w:b/>
      <w:bCs/>
      <w:sz w:val="36"/>
      <w:szCs w:val="32"/>
    </w:rPr>
  </w:style>
  <w:style w:type="paragraph" w:styleId="4">
    <w:name w:val="heading 3"/>
    <w:basedOn w:val="1"/>
    <w:next w:val="1"/>
    <w:link w:val="28"/>
    <w:qFormat/>
    <w:uiPriority w:val="99"/>
    <w:pPr>
      <w:keepNext/>
      <w:keepLines/>
      <w:spacing w:before="260" w:after="260" w:line="416" w:lineRule="auto"/>
      <w:outlineLvl w:val="2"/>
    </w:pPr>
    <w:rPr>
      <w:rFonts w:ascii="Calibri" w:hAnsi="Calibri"/>
      <w:b/>
      <w:bCs/>
      <w:sz w:val="32"/>
      <w:szCs w:val="32"/>
    </w:rPr>
  </w:style>
  <w:style w:type="character" w:default="1" w:styleId="22">
    <w:name w:val="Default Paragraph Font"/>
    <w:semiHidden/>
    <w:uiPriority w:val="99"/>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9"/>
    <w:semiHidden/>
    <w:uiPriority w:val="99"/>
    <w:pPr>
      <w:shd w:val="clear" w:color="auto" w:fill="000080"/>
    </w:pPr>
  </w:style>
  <w:style w:type="paragraph" w:styleId="6">
    <w:name w:val="annotation text"/>
    <w:basedOn w:val="1"/>
    <w:link w:val="30"/>
    <w:uiPriority w:val="99"/>
    <w:pPr>
      <w:jc w:val="left"/>
    </w:pPr>
    <w:rPr>
      <w:rFonts w:ascii="Calibri" w:hAnsi="Calibri"/>
      <w:szCs w:val="22"/>
    </w:rPr>
  </w:style>
  <w:style w:type="paragraph" w:styleId="7">
    <w:name w:val="Body Text"/>
    <w:basedOn w:val="1"/>
    <w:link w:val="31"/>
    <w:semiHidden/>
    <w:uiPriority w:val="99"/>
    <w:pPr>
      <w:spacing w:after="120"/>
    </w:pPr>
  </w:style>
  <w:style w:type="paragraph" w:styleId="8">
    <w:name w:val="Body Text Indent"/>
    <w:basedOn w:val="1"/>
    <w:link w:val="32"/>
    <w:qFormat/>
    <w:uiPriority w:val="99"/>
    <w:pPr>
      <w:spacing w:after="120"/>
      <w:ind w:left="420" w:leftChars="200"/>
    </w:pPr>
    <w:rPr>
      <w:lang w:val="zh-CN"/>
    </w:rPr>
  </w:style>
  <w:style w:type="paragraph" w:styleId="9">
    <w:name w:val="Plain Text"/>
    <w:basedOn w:val="1"/>
    <w:link w:val="33"/>
    <w:qFormat/>
    <w:uiPriority w:val="99"/>
    <w:rPr>
      <w:rFonts w:ascii="宋体" w:hAnsi="Courier New" w:cs="Courier New"/>
      <w:szCs w:val="21"/>
    </w:rPr>
  </w:style>
  <w:style w:type="paragraph" w:styleId="10">
    <w:name w:val="Date"/>
    <w:basedOn w:val="1"/>
    <w:next w:val="1"/>
    <w:link w:val="34"/>
    <w:qFormat/>
    <w:uiPriority w:val="99"/>
    <w:rPr>
      <w:rFonts w:ascii="宋体"/>
      <w:sz w:val="24"/>
    </w:rPr>
  </w:style>
  <w:style w:type="paragraph" w:styleId="11">
    <w:name w:val="Body Text Indent 2"/>
    <w:basedOn w:val="1"/>
    <w:link w:val="35"/>
    <w:uiPriority w:val="99"/>
    <w:pPr>
      <w:spacing w:after="120" w:line="480" w:lineRule="auto"/>
      <w:ind w:left="420" w:leftChars="200"/>
    </w:pPr>
    <w:rPr>
      <w:rFonts w:ascii="Calibri" w:hAnsi="Calibri"/>
      <w:szCs w:val="22"/>
    </w:rPr>
  </w:style>
  <w:style w:type="paragraph" w:styleId="12">
    <w:name w:val="Balloon Text"/>
    <w:basedOn w:val="1"/>
    <w:link w:val="36"/>
    <w:semiHidden/>
    <w:uiPriority w:val="99"/>
    <w:rPr>
      <w:sz w:val="18"/>
      <w:szCs w:val="18"/>
    </w:rPr>
  </w:style>
  <w:style w:type="paragraph" w:styleId="13">
    <w:name w:val="footer"/>
    <w:basedOn w:val="1"/>
    <w:link w:val="37"/>
    <w:uiPriority w:val="99"/>
    <w:pPr>
      <w:tabs>
        <w:tab w:val="center" w:pos="4153"/>
        <w:tab w:val="right" w:pos="8306"/>
      </w:tabs>
      <w:snapToGrid w:val="0"/>
      <w:jc w:val="left"/>
    </w:pPr>
    <w:rPr>
      <w:sz w:val="18"/>
    </w:rPr>
  </w:style>
  <w:style w:type="paragraph" w:styleId="14">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99"/>
    <w:pPr>
      <w:spacing w:line="360" w:lineRule="auto"/>
    </w:pPr>
    <w:rPr>
      <w:rFonts w:ascii="Calibri" w:hAnsi="Calibri"/>
      <w:sz w:val="24"/>
      <w:szCs w:val="22"/>
    </w:rPr>
  </w:style>
  <w:style w:type="paragraph" w:styleId="16">
    <w:name w:val="Body Text Indent 3"/>
    <w:basedOn w:val="1"/>
    <w:link w:val="39"/>
    <w:uiPriority w:val="99"/>
    <w:pPr>
      <w:spacing w:after="120"/>
      <w:ind w:left="420" w:leftChars="200"/>
    </w:pPr>
    <w:rPr>
      <w:kern w:val="0"/>
      <w:sz w:val="16"/>
      <w:szCs w:val="16"/>
    </w:rPr>
  </w:style>
  <w:style w:type="paragraph" w:styleId="17">
    <w:name w:val="toc 2"/>
    <w:basedOn w:val="1"/>
    <w:next w:val="1"/>
    <w:uiPriority w:val="99"/>
    <w:pPr>
      <w:spacing w:line="360" w:lineRule="auto"/>
      <w:ind w:left="420" w:leftChars="200"/>
    </w:pPr>
    <w:rPr>
      <w:rFonts w:ascii="Calibri" w:hAnsi="Calibri"/>
      <w:sz w:val="24"/>
      <w:szCs w:val="22"/>
    </w:rPr>
  </w:style>
  <w:style w:type="paragraph" w:styleId="18">
    <w:name w:val="Normal (Web)"/>
    <w:basedOn w:val="1"/>
    <w:uiPriority w:val="99"/>
    <w:pPr>
      <w:spacing w:before="100" w:beforeAutospacing="1" w:after="100" w:afterAutospacing="1"/>
    </w:pPr>
    <w:rPr>
      <w:sz w:val="24"/>
      <w:szCs w:val="24"/>
    </w:rPr>
  </w:style>
  <w:style w:type="paragraph" w:styleId="19">
    <w:name w:val="annotation subject"/>
    <w:basedOn w:val="6"/>
    <w:next w:val="6"/>
    <w:link w:val="40"/>
    <w:uiPriority w:val="99"/>
    <w:rPr>
      <w:b/>
      <w:bCs/>
    </w:rPr>
  </w:style>
  <w:style w:type="table" w:styleId="21">
    <w:name w:val="Table Grid"/>
    <w:basedOn w:val="20"/>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page number"/>
    <w:basedOn w:val="22"/>
    <w:uiPriority w:val="99"/>
    <w:rPr>
      <w:rFonts w:cs="Times New Roman"/>
    </w:rPr>
  </w:style>
  <w:style w:type="character" w:styleId="24">
    <w:name w:val="Hyperlink"/>
    <w:basedOn w:val="22"/>
    <w:uiPriority w:val="99"/>
    <w:rPr>
      <w:rFonts w:cs="Times New Roman"/>
      <w:color w:val="0000FF"/>
      <w:u w:val="single"/>
    </w:rPr>
  </w:style>
  <w:style w:type="character" w:styleId="25">
    <w:name w:val="annotation reference"/>
    <w:basedOn w:val="22"/>
    <w:qFormat/>
    <w:uiPriority w:val="99"/>
    <w:rPr>
      <w:rFonts w:cs="Times New Roman"/>
      <w:sz w:val="21"/>
      <w:szCs w:val="21"/>
    </w:rPr>
  </w:style>
  <w:style w:type="character" w:customStyle="1" w:styleId="26">
    <w:name w:val="Heading 1 Char"/>
    <w:basedOn w:val="22"/>
    <w:link w:val="2"/>
    <w:locked/>
    <w:uiPriority w:val="99"/>
    <w:rPr>
      <w:rFonts w:ascii="Calibri" w:hAnsi="Calibri" w:eastAsia="宋体" w:cs="Times New Roman"/>
      <w:b/>
      <w:bCs/>
      <w:kern w:val="44"/>
      <w:sz w:val="44"/>
      <w:szCs w:val="44"/>
    </w:rPr>
  </w:style>
  <w:style w:type="character" w:customStyle="1" w:styleId="27">
    <w:name w:val="Heading 2 Char"/>
    <w:basedOn w:val="22"/>
    <w:link w:val="3"/>
    <w:locked/>
    <w:uiPriority w:val="99"/>
    <w:rPr>
      <w:rFonts w:ascii="Cambria" w:hAnsi="Cambria" w:eastAsia="宋体" w:cs="Times New Roman"/>
      <w:b/>
      <w:bCs/>
      <w:sz w:val="32"/>
      <w:szCs w:val="32"/>
    </w:rPr>
  </w:style>
  <w:style w:type="character" w:customStyle="1" w:styleId="28">
    <w:name w:val="Heading 3 Char"/>
    <w:basedOn w:val="22"/>
    <w:link w:val="4"/>
    <w:locked/>
    <w:uiPriority w:val="99"/>
    <w:rPr>
      <w:rFonts w:ascii="Calibri" w:hAnsi="Calibri" w:eastAsia="宋体" w:cs="Times New Roman"/>
      <w:b/>
      <w:bCs/>
      <w:sz w:val="32"/>
      <w:szCs w:val="32"/>
    </w:rPr>
  </w:style>
  <w:style w:type="character" w:customStyle="1" w:styleId="29">
    <w:name w:val="Document Map Char"/>
    <w:basedOn w:val="22"/>
    <w:link w:val="5"/>
    <w:semiHidden/>
    <w:locked/>
    <w:uiPriority w:val="99"/>
    <w:rPr>
      <w:rFonts w:ascii="Times New Roman" w:hAnsi="Times New Roman" w:eastAsia="宋体" w:cs="Times New Roman"/>
      <w:sz w:val="20"/>
      <w:szCs w:val="20"/>
      <w:shd w:val="clear" w:color="auto" w:fill="000080"/>
    </w:rPr>
  </w:style>
  <w:style w:type="character" w:customStyle="1" w:styleId="30">
    <w:name w:val="Comment Text Char"/>
    <w:basedOn w:val="22"/>
    <w:link w:val="6"/>
    <w:locked/>
    <w:uiPriority w:val="99"/>
    <w:rPr>
      <w:rFonts w:ascii="Calibri" w:hAnsi="Calibri" w:eastAsia="宋体" w:cs="Times New Roman"/>
    </w:rPr>
  </w:style>
  <w:style w:type="character" w:customStyle="1" w:styleId="31">
    <w:name w:val="Body Text Char"/>
    <w:basedOn w:val="22"/>
    <w:link w:val="7"/>
    <w:semiHidden/>
    <w:locked/>
    <w:uiPriority w:val="99"/>
    <w:rPr>
      <w:rFonts w:cs="Times New Roman"/>
      <w:kern w:val="2"/>
      <w:sz w:val="21"/>
    </w:rPr>
  </w:style>
  <w:style w:type="character" w:customStyle="1" w:styleId="32">
    <w:name w:val="Body Text Indent Char"/>
    <w:basedOn w:val="22"/>
    <w:link w:val="8"/>
    <w:qFormat/>
    <w:locked/>
    <w:uiPriority w:val="99"/>
    <w:rPr>
      <w:rFonts w:ascii="Times New Roman" w:hAnsi="Times New Roman" w:eastAsia="宋体" w:cs="Times New Roman"/>
      <w:sz w:val="20"/>
      <w:szCs w:val="20"/>
      <w:lang w:val="zh-CN" w:eastAsia="zh-CN"/>
    </w:rPr>
  </w:style>
  <w:style w:type="character" w:customStyle="1" w:styleId="33">
    <w:name w:val="Plain Text Char"/>
    <w:basedOn w:val="22"/>
    <w:link w:val="9"/>
    <w:qFormat/>
    <w:locked/>
    <w:uiPriority w:val="99"/>
    <w:rPr>
      <w:rFonts w:ascii="宋体" w:hAnsi="Courier New" w:eastAsia="宋体" w:cs="Courier New"/>
      <w:sz w:val="21"/>
      <w:szCs w:val="21"/>
    </w:rPr>
  </w:style>
  <w:style w:type="character" w:customStyle="1" w:styleId="34">
    <w:name w:val="Date Char"/>
    <w:basedOn w:val="22"/>
    <w:link w:val="10"/>
    <w:qFormat/>
    <w:locked/>
    <w:uiPriority w:val="99"/>
    <w:rPr>
      <w:rFonts w:ascii="宋体" w:hAnsi="Times New Roman" w:eastAsia="宋体" w:cs="Times New Roman"/>
      <w:sz w:val="20"/>
      <w:szCs w:val="20"/>
    </w:rPr>
  </w:style>
  <w:style w:type="character" w:customStyle="1" w:styleId="35">
    <w:name w:val="Body Text Indent 2 Char"/>
    <w:basedOn w:val="22"/>
    <w:link w:val="11"/>
    <w:locked/>
    <w:uiPriority w:val="99"/>
    <w:rPr>
      <w:rFonts w:cs="Times New Roman"/>
    </w:rPr>
  </w:style>
  <w:style w:type="character" w:customStyle="1" w:styleId="36">
    <w:name w:val="Balloon Text Char"/>
    <w:basedOn w:val="22"/>
    <w:link w:val="12"/>
    <w:semiHidden/>
    <w:locked/>
    <w:uiPriority w:val="99"/>
    <w:rPr>
      <w:rFonts w:ascii="Times New Roman" w:hAnsi="Times New Roman" w:eastAsia="宋体" w:cs="Times New Roman"/>
      <w:sz w:val="18"/>
      <w:szCs w:val="18"/>
    </w:rPr>
  </w:style>
  <w:style w:type="character" w:customStyle="1" w:styleId="37">
    <w:name w:val="Footer Char"/>
    <w:basedOn w:val="22"/>
    <w:link w:val="13"/>
    <w:qFormat/>
    <w:locked/>
    <w:uiPriority w:val="99"/>
    <w:rPr>
      <w:rFonts w:ascii="Times New Roman" w:hAnsi="Times New Roman" w:eastAsia="宋体" w:cs="Times New Roman"/>
      <w:sz w:val="20"/>
      <w:szCs w:val="20"/>
    </w:rPr>
  </w:style>
  <w:style w:type="character" w:customStyle="1" w:styleId="38">
    <w:name w:val="Header Char"/>
    <w:basedOn w:val="22"/>
    <w:link w:val="14"/>
    <w:locked/>
    <w:uiPriority w:val="99"/>
    <w:rPr>
      <w:rFonts w:ascii="Times New Roman" w:hAnsi="Times New Roman" w:eastAsia="宋体" w:cs="Times New Roman"/>
      <w:sz w:val="18"/>
      <w:szCs w:val="18"/>
    </w:rPr>
  </w:style>
  <w:style w:type="character" w:customStyle="1" w:styleId="39">
    <w:name w:val="Body Text Indent 3 Char"/>
    <w:basedOn w:val="22"/>
    <w:link w:val="16"/>
    <w:locked/>
    <w:uiPriority w:val="99"/>
    <w:rPr>
      <w:rFonts w:cs="Times New Roman"/>
      <w:sz w:val="16"/>
    </w:rPr>
  </w:style>
  <w:style w:type="character" w:customStyle="1" w:styleId="40">
    <w:name w:val="Comment Subject Char"/>
    <w:basedOn w:val="30"/>
    <w:link w:val="19"/>
    <w:locked/>
    <w:uiPriority w:val="99"/>
    <w:rPr>
      <w:b/>
      <w:bCs/>
    </w:rPr>
  </w:style>
  <w:style w:type="paragraph" w:customStyle="1" w:styleId="41">
    <w:name w:val="样式 标题一 副标题 + 居中"/>
    <w:basedOn w:val="1"/>
    <w:uiPriority w:val="99"/>
    <w:pPr>
      <w:tabs>
        <w:tab w:val="left" w:pos="720"/>
        <w:tab w:val="left" w:pos="7740"/>
      </w:tabs>
      <w:spacing w:after="240" w:line="240" w:lineRule="atLeast"/>
      <w:ind w:left="357" w:firstLine="150" w:firstLineChars="150"/>
      <w:jc w:val="left"/>
    </w:pPr>
    <w:rPr>
      <w:rFonts w:ascii="宋体" w:eastAsia="黑体"/>
      <w:kern w:val="0"/>
      <w:sz w:val="44"/>
    </w:rPr>
  </w:style>
  <w:style w:type="paragraph" w:customStyle="1" w:styleId="42">
    <w:name w:val="1"/>
    <w:basedOn w:val="1"/>
    <w:next w:val="8"/>
    <w:uiPriority w:val="99"/>
    <w:pPr>
      <w:snapToGrid w:val="0"/>
      <w:spacing w:line="560" w:lineRule="atLeast"/>
      <w:ind w:firstLine="630"/>
    </w:pPr>
    <w:rPr>
      <w:sz w:val="31"/>
    </w:rPr>
  </w:style>
  <w:style w:type="character" w:customStyle="1" w:styleId="43">
    <w:name w:val="Char"/>
    <w:uiPriority w:val="99"/>
    <w:rPr>
      <w:rFonts w:eastAsia="宋体"/>
      <w:kern w:val="2"/>
      <w:sz w:val="31"/>
      <w:lang w:val="en-US" w:eastAsia="zh-CN"/>
    </w:rPr>
  </w:style>
  <w:style w:type="paragraph" w:styleId="44">
    <w:name w:val="List Paragraph"/>
    <w:basedOn w:val="1"/>
    <w:qFormat/>
    <w:uiPriority w:val="99"/>
    <w:pPr>
      <w:spacing w:line="360" w:lineRule="auto"/>
      <w:ind w:firstLine="420" w:firstLineChars="200"/>
    </w:pPr>
    <w:rPr>
      <w:rFonts w:ascii="Calibri" w:hAnsi="Calibri"/>
      <w:sz w:val="24"/>
      <w:szCs w:val="22"/>
    </w:rPr>
  </w:style>
  <w:style w:type="character" w:customStyle="1" w:styleId="45">
    <w:name w:val="正文文本缩进 2 Char1"/>
    <w:basedOn w:val="22"/>
    <w:uiPriority w:val="99"/>
    <w:rPr>
      <w:rFonts w:ascii="Times New Roman" w:hAnsi="Times New Roman" w:eastAsia="宋体" w:cs="Times New Roman"/>
      <w:sz w:val="20"/>
      <w:szCs w:val="20"/>
    </w:rPr>
  </w:style>
  <w:style w:type="character" w:customStyle="1" w:styleId="46">
    <w:name w:val="正文文本缩进 3 Char1"/>
    <w:basedOn w:val="22"/>
    <w:qFormat/>
    <w:uiPriority w:val="99"/>
    <w:rPr>
      <w:rFonts w:ascii="Times New Roman" w:hAnsi="Times New Roman" w:eastAsia="宋体" w:cs="Times New Roman"/>
      <w:sz w:val="16"/>
      <w:szCs w:val="16"/>
    </w:rPr>
  </w:style>
  <w:style w:type="paragraph" w:customStyle="1" w:styleId="47">
    <w:name w:val="p0"/>
    <w:basedOn w:val="1"/>
    <w:uiPriority w:val="99"/>
    <w:pPr>
      <w:widowControl/>
    </w:pPr>
    <w:rPr>
      <w:kern w:val="0"/>
      <w:szCs w:val="21"/>
    </w:rPr>
  </w:style>
  <w:style w:type="paragraph" w:customStyle="1" w:styleId="48">
    <w:name w:val="TOC Heading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49">
    <w:name w:val="Revision1"/>
    <w:hidden/>
    <w:semiHidden/>
    <w:qFormat/>
    <w:uiPriority w:val="99"/>
    <w:rPr>
      <w:rFonts w:ascii="Calibri" w:hAnsi="Calibri" w:eastAsia="宋体" w:cs="Times New Roman"/>
      <w:kern w:val="2"/>
      <w:sz w:val="21"/>
      <w:szCs w:val="22"/>
      <w:lang w:val="en-US" w:eastAsia="zh-CN" w:bidi="ar-SA"/>
    </w:rPr>
  </w:style>
  <w:style w:type="character" w:customStyle="1" w:styleId="50">
    <w:name w:val="fontstyle01"/>
    <w:basedOn w:val="22"/>
    <w:uiPriority w:val="99"/>
    <w:rPr>
      <w:rFonts w:ascii="宋体" w:hAnsi="宋体" w:eastAsia="宋体" w:cs="Times New Roman"/>
      <w:color w:val="000000"/>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Lenovo</Company>
  <Pages>9</Pages>
  <Words>1159</Words>
  <Characters>6609</Characters>
  <Lines>0</Lines>
  <Paragraphs>0</Paragraphs>
  <TotalTime>170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2021-06-06T22:12:00Z</dcterms:created>
  <dc:creator>lenovo</dc:creator>
  <cp:lastModifiedBy>liangsui</cp:lastModifiedBy>
  <dcterms:modified xsi:type="dcterms:W3CDTF">2021-08-26T11:25:47Z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4E2F9B873FCA44DC9EF6BAAF6DDA7CC3</vt:lpwstr>
  </property>
</Properties>
</file>