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00" w:lineRule="exact"/>
        <w:jc w:val="center"/>
        <w:rPr>
          <w:rFonts w:ascii="仿宋_GB2312" w:hAnsi="宋体" w:eastAsia="仿宋_GB2312"/>
          <w:b/>
          <w:color w:val="000000"/>
          <w:sz w:val="36"/>
          <w:szCs w:val="36"/>
        </w:rPr>
      </w:pPr>
      <w:r>
        <w:rPr>
          <w:rFonts w:hint="eastAsia" w:ascii="仿宋_GB2312" w:hAnsi="宋体" w:eastAsia="仿宋_GB2312"/>
          <w:b/>
          <w:color w:val="000000"/>
          <w:sz w:val="32"/>
          <w:szCs w:val="32"/>
        </w:rPr>
        <w:t>中山大学计算机学院</w:t>
      </w:r>
    </w:p>
    <w:p>
      <w:pPr>
        <w:widowControl/>
        <w:jc w:val="left"/>
        <w:rPr>
          <w:rFonts w:ascii="仿宋_GB2312" w:hAnsi="宋体" w:eastAsia="仿宋_GB2312"/>
          <w:b/>
          <w:color w:val="000000"/>
          <w:sz w:val="32"/>
          <w:szCs w:val="32"/>
        </w:rPr>
      </w:pPr>
      <w:r>
        <w:rPr>
          <w:rFonts w:hint="eastAsia" w:eastAsia="仿宋_GB2312"/>
          <w:b/>
          <w:color w:val="000000"/>
          <w:spacing w:val="-8"/>
          <w:sz w:val="32"/>
          <w:szCs w:val="32"/>
        </w:rPr>
        <w:t>网络空间安全（</w:t>
      </w:r>
      <w:r>
        <w:rPr>
          <w:rFonts w:hint="eastAsia" w:ascii="仿宋_GB2312" w:hAnsi="宋体" w:eastAsia="仿宋_GB2312"/>
          <w:b/>
          <w:color w:val="000000"/>
          <w:sz w:val="32"/>
          <w:szCs w:val="32"/>
        </w:rPr>
        <w:t>一级学科、工学）（</w:t>
      </w:r>
      <w:r>
        <w:rPr>
          <w:rFonts w:eastAsia="仿宋_GB2312"/>
          <w:b/>
          <w:color w:val="000000"/>
          <w:spacing w:val="-8"/>
          <w:sz w:val="32"/>
          <w:szCs w:val="32"/>
        </w:rPr>
        <w:t>083900</w:t>
      </w:r>
      <w:r>
        <w:rPr>
          <w:rFonts w:hint="eastAsia" w:eastAsia="仿宋_GB2312"/>
          <w:b/>
          <w:color w:val="000000"/>
          <w:spacing w:val="-8"/>
          <w:sz w:val="32"/>
          <w:szCs w:val="32"/>
        </w:rPr>
        <w:t>）</w:t>
      </w:r>
      <w:r>
        <w:rPr>
          <w:rFonts w:hint="eastAsia" w:ascii="仿宋_GB2312" w:hAnsi="宋体" w:eastAsia="仿宋_GB2312"/>
          <w:b/>
          <w:color w:val="000000"/>
          <w:sz w:val="28"/>
          <w:szCs w:val="28"/>
        </w:rPr>
        <w:t>博士研究生培养方案（普）</w:t>
      </w:r>
    </w:p>
    <w:p>
      <w:pPr>
        <w:adjustRightInd w:val="0"/>
        <w:snapToGrid w:val="0"/>
        <w:spacing w:line="500" w:lineRule="exact"/>
        <w:jc w:val="center"/>
        <w:rPr>
          <w:rFonts w:ascii="仿宋_GB2312" w:hAnsi="宋体" w:eastAsia="仿宋_GB2312"/>
          <w:color w:val="000000"/>
          <w:sz w:val="28"/>
          <w:szCs w:val="28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（从</w:t>
      </w:r>
      <w:r>
        <w:rPr>
          <w:rFonts w:ascii="仿宋_GB2312" w:hAnsi="宋体" w:eastAsia="仿宋_GB2312"/>
          <w:color w:val="000000"/>
          <w:sz w:val="28"/>
          <w:szCs w:val="28"/>
        </w:rPr>
        <w:t>2021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>年级开始执行）</w:t>
      </w:r>
    </w:p>
    <w:p>
      <w:pPr>
        <w:spacing w:line="500" w:lineRule="exact"/>
        <w:ind w:firstLine="643" w:firstLineChars="200"/>
        <w:rPr>
          <w:rFonts w:ascii="仿宋_GB2312" w:hAnsi="宋体" w:eastAsia="仿宋_GB2312"/>
          <w:b/>
          <w:sz w:val="32"/>
          <w:szCs w:val="32"/>
        </w:rPr>
      </w:pPr>
    </w:p>
    <w:p>
      <w:pPr>
        <w:pStyle w:val="41"/>
        <w:numPr>
          <w:ilvl w:val="0"/>
          <w:numId w:val="1"/>
        </w:numPr>
        <w:spacing w:line="500" w:lineRule="exact"/>
        <w:ind w:firstLineChars="0"/>
        <w:rPr>
          <w:rFonts w:ascii="仿宋_GB2312" w:hAnsi="宋体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b/>
          <w:sz w:val="32"/>
          <w:szCs w:val="32"/>
        </w:rPr>
        <w:t>学科介绍</w:t>
      </w:r>
    </w:p>
    <w:p>
      <w:pPr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本学科以立德树人为根本，坚持理工结合，聚焦科技前沿和国家战略，服务经济与产业。研究领域主要涉及密码学、网络安全、内容安全、信息干扰与对抗等。该学科的硕士生培养导师依托广东省信息安全技术重点实验室平台，汇聚优质教学资源，形成了完善的研究生培养体系。</w:t>
      </w:r>
    </w:p>
    <w:p>
      <w:pPr>
        <w:spacing w:line="500" w:lineRule="exact"/>
        <w:ind w:firstLine="643" w:firstLineChars="200"/>
        <w:rPr>
          <w:rFonts w:ascii="仿宋_GB2312" w:hAnsi="宋体" w:eastAsia="仿宋_GB2312"/>
          <w:b/>
          <w:sz w:val="32"/>
          <w:szCs w:val="32"/>
        </w:rPr>
      </w:pPr>
    </w:p>
    <w:p>
      <w:pPr>
        <w:spacing w:line="500" w:lineRule="exact"/>
        <w:rPr>
          <w:rFonts w:ascii="仿宋_GB2312" w:hAnsi="宋体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b/>
          <w:sz w:val="32"/>
          <w:szCs w:val="32"/>
        </w:rPr>
        <w:t>二、培养目标</w:t>
      </w:r>
    </w:p>
    <w:p>
      <w:pPr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以习近平新时代中国特色社会主义思想为指导，全面贯彻党的教育方针，以立德树人为根本，以理想信念教育为核心，</w:t>
      </w:r>
      <w:r>
        <w:rPr>
          <w:rFonts w:hint="eastAsia" w:eastAsia="仿宋_GB2312"/>
          <w:sz w:val="28"/>
          <w:szCs w:val="28"/>
        </w:rPr>
        <w:t>聚焦国家重大战略、经济社会需求和科学技术前沿，支持战略性新兴学科发展，</w:t>
      </w:r>
      <w:r>
        <w:rPr>
          <w:rFonts w:hint="eastAsia" w:ascii="仿宋_GB2312" w:hAnsi="宋体" w:eastAsia="仿宋_GB2312"/>
          <w:sz w:val="28"/>
          <w:szCs w:val="28"/>
        </w:rPr>
        <w:t>培养德智体美劳全面发展，具有社会责任感和创新精神的高层次人才。</w:t>
      </w:r>
    </w:p>
    <w:p>
      <w:pPr>
        <w:spacing w:line="500" w:lineRule="exact"/>
        <w:ind w:firstLine="560" w:firstLineChars="200"/>
      </w:pPr>
      <w:r>
        <w:rPr>
          <w:rFonts w:hint="eastAsia" w:ascii="仿宋_GB2312" w:hAnsi="宋体" w:eastAsia="仿宋_GB2312"/>
          <w:sz w:val="28"/>
          <w:szCs w:val="28"/>
        </w:rPr>
        <w:t>要求学生基本掌握马列主义、毛泽东思想和邓小平理论，热爱祖国，遵纪守法，具有高尚的学术道德、具有高度的敬业精神和严谨的工作态度；具</w:t>
      </w:r>
      <w:r>
        <w:rPr>
          <w:rFonts w:hint="eastAsia" w:eastAsia="仿宋_GB2312"/>
          <w:sz w:val="28"/>
          <w:szCs w:val="28"/>
        </w:rPr>
        <w:t>有坚实的理论基础，</w:t>
      </w:r>
      <w:r>
        <w:rPr>
          <w:rFonts w:hint="eastAsia" w:ascii="仿宋_GB2312" w:hAnsi="宋体" w:eastAsia="仿宋_GB2312"/>
          <w:sz w:val="28"/>
          <w:szCs w:val="28"/>
        </w:rPr>
        <w:t>系统深入地掌握掌握网络空间安全领域的专业知识，熟练掌握一门外国语；能够综合运用理论、方法和技术分析解决网络空间安全技术领域的复杂问题；熟悉网络空间安全技术发展的前沿和动态，具有良好的创新意识和创新思维能力</w:t>
      </w:r>
      <w:r>
        <w:rPr>
          <w:rFonts w:ascii="仿宋_GB2312" w:hAnsi="宋体" w:eastAsia="仿宋_GB2312"/>
          <w:sz w:val="28"/>
          <w:szCs w:val="28"/>
        </w:rPr>
        <w:t>;</w:t>
      </w:r>
      <w:r>
        <w:rPr>
          <w:rFonts w:hint="eastAsia" w:ascii="仿宋_GB2312" w:hAnsi="宋体" w:eastAsia="仿宋_GB2312"/>
          <w:sz w:val="28"/>
          <w:szCs w:val="28"/>
        </w:rPr>
        <w:t>能熟练地运用科学的研究方法，独立在该领域从事创造性的理论及应用研究，具备从事网络空间安全及相关领域的科研和教学工作的能力。</w:t>
      </w:r>
    </w:p>
    <w:p>
      <w:pPr>
        <w:adjustRightInd w:val="0"/>
        <w:snapToGrid w:val="0"/>
        <w:spacing w:line="500" w:lineRule="exact"/>
        <w:ind w:firstLine="560" w:firstLineChars="200"/>
        <w:jc w:val="left"/>
        <w:rPr>
          <w:rFonts w:ascii="仿宋_GB2312" w:hAnsi="华文仿宋" w:eastAsia="仿宋_GB2312"/>
          <w:sz w:val="28"/>
          <w:szCs w:val="28"/>
        </w:rPr>
      </w:pPr>
    </w:p>
    <w:p>
      <w:pPr>
        <w:spacing w:line="500" w:lineRule="exact"/>
        <w:rPr>
          <w:rFonts w:ascii="仿宋_GB2312" w:hAnsi="宋体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b/>
          <w:sz w:val="32"/>
          <w:szCs w:val="32"/>
        </w:rPr>
        <w:t>三、学制与学习年限</w:t>
      </w:r>
    </w:p>
    <w:p>
      <w:pPr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学制为四年；每学年由两个学期组成。</w:t>
      </w:r>
    </w:p>
    <w:p>
      <w:pPr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不能按时完成学业者，由导师提出，经所在学院、直属系同意，研究生院批准，可适当延长学习年限，每次申请延长不超过一年，从博士研究入学时间算起最长学习年限不超过七年。凡未提出申请或申请未获批准而超期者，按自动退学处理。</w:t>
      </w:r>
    </w:p>
    <w:p>
      <w:pPr>
        <w:widowControl/>
        <w:jc w:val="left"/>
      </w:pPr>
    </w:p>
    <w:p>
      <w:pPr>
        <w:widowControl/>
        <w:jc w:val="left"/>
      </w:pPr>
    </w:p>
    <w:p>
      <w:pPr>
        <w:spacing w:line="500" w:lineRule="exact"/>
        <w:rPr>
          <w:rFonts w:ascii="仿宋_GB2312" w:hAnsi="宋体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b/>
          <w:sz w:val="32"/>
          <w:szCs w:val="32"/>
        </w:rPr>
        <w:t>四、研究方向</w:t>
      </w:r>
    </w:p>
    <w:p>
      <w:pPr>
        <w:spacing w:line="500" w:lineRule="exact"/>
        <w:ind w:firstLine="560" w:firstLineChars="200"/>
        <w:rPr>
          <w:rFonts w:ascii="仿宋" w:hAnsi="仿宋" w:eastAsia="仿宋" w:cs="仿宋"/>
          <w:color w:val="000000"/>
          <w:kern w:val="0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本方案适用于以下学科方向：</w:t>
      </w:r>
      <w:r>
        <w:rPr>
          <w:rFonts w:ascii="仿宋" w:hAnsi="仿宋" w:eastAsia="仿宋" w:cs="仿宋"/>
          <w:color w:val="000000"/>
          <w:kern w:val="0"/>
          <w:sz w:val="28"/>
          <w:szCs w:val="28"/>
        </w:rPr>
        <w:t xml:space="preserve"> </w:t>
      </w:r>
    </w:p>
    <w:p>
      <w:pPr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ascii="仿宋_GB2312" w:hAnsi="宋体" w:eastAsia="仿宋_GB2312"/>
          <w:sz w:val="28"/>
          <w:szCs w:val="28"/>
        </w:rPr>
        <w:t>1</w:t>
      </w:r>
      <w:r>
        <w:rPr>
          <w:rFonts w:hint="eastAsia" w:ascii="仿宋_GB2312" w:hAnsi="宋体" w:eastAsia="仿宋_GB2312"/>
          <w:sz w:val="28"/>
          <w:szCs w:val="28"/>
        </w:rPr>
        <w:t>．密码学及应用</w:t>
      </w:r>
    </w:p>
    <w:p>
      <w:pPr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密码体制、安全协议、对称密码、公钥密码、</w:t>
      </w:r>
      <w:r>
        <w:rPr>
          <w:rFonts w:ascii="仿宋_GB2312" w:hAnsi="宋体" w:eastAsia="仿宋_GB2312"/>
          <w:sz w:val="28"/>
          <w:szCs w:val="28"/>
        </w:rPr>
        <w:t>Hash</w:t>
      </w:r>
      <w:r>
        <w:rPr>
          <w:rFonts w:hint="eastAsia" w:ascii="仿宋_GB2312" w:hAnsi="宋体" w:eastAsia="仿宋_GB2312"/>
          <w:sz w:val="28"/>
          <w:szCs w:val="28"/>
        </w:rPr>
        <w:t>函数、新型密码（量子密码、后量子密码）、密钥管理、密码应用系统等。</w:t>
      </w:r>
    </w:p>
    <w:p>
      <w:pPr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ascii="仿宋_GB2312" w:hAnsi="宋体" w:eastAsia="仿宋_GB2312"/>
          <w:sz w:val="28"/>
          <w:szCs w:val="28"/>
        </w:rPr>
        <w:t>2</w:t>
      </w:r>
      <w:r>
        <w:rPr>
          <w:rFonts w:hint="eastAsia" w:ascii="仿宋_GB2312" w:hAnsi="宋体" w:eastAsia="仿宋_GB2312"/>
          <w:sz w:val="28"/>
          <w:szCs w:val="28"/>
        </w:rPr>
        <w:t>．系统安全</w:t>
      </w:r>
    </w:p>
    <w:p>
      <w:pPr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操作系统安全、虚拟化技术安全、安全与可信计算、安全漏洞分析、计算机病毒防御、系统安全测评分析等。</w:t>
      </w:r>
    </w:p>
    <w:p>
      <w:pPr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ascii="仿宋_GB2312" w:hAnsi="宋体" w:eastAsia="仿宋_GB2312"/>
          <w:sz w:val="28"/>
          <w:szCs w:val="28"/>
        </w:rPr>
        <w:t>3</w:t>
      </w:r>
      <w:r>
        <w:rPr>
          <w:rFonts w:hint="eastAsia" w:ascii="仿宋_GB2312" w:hAnsi="宋体" w:eastAsia="仿宋_GB2312"/>
          <w:sz w:val="28"/>
          <w:szCs w:val="28"/>
        </w:rPr>
        <w:t>．网络安全</w:t>
      </w:r>
    </w:p>
    <w:p>
      <w:pPr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网络安全体系结构、协议分析与识别、流量分析与控制、安全事件分析挖掘、</w:t>
      </w:r>
      <w:r>
        <w:rPr>
          <w:rFonts w:ascii="仿宋_GB2312" w:hAnsi="宋体" w:eastAsia="仿宋_GB2312"/>
          <w:sz w:val="28"/>
          <w:szCs w:val="28"/>
        </w:rPr>
        <w:t>Web</w:t>
      </w:r>
      <w:r>
        <w:rPr>
          <w:rFonts w:hint="eastAsia" w:ascii="仿宋_GB2312" w:hAnsi="宋体" w:eastAsia="仿宋_GB2312"/>
          <w:sz w:val="28"/>
          <w:szCs w:val="28"/>
        </w:rPr>
        <w:t>安全、社交网络安全、大数据与云数据安全等。</w:t>
      </w:r>
    </w:p>
    <w:p>
      <w:pPr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ascii="仿宋_GB2312" w:hAnsi="宋体" w:eastAsia="仿宋_GB2312"/>
          <w:sz w:val="28"/>
          <w:szCs w:val="28"/>
        </w:rPr>
        <w:t>4</w:t>
      </w:r>
      <w:r>
        <w:rPr>
          <w:rFonts w:hint="eastAsia" w:ascii="仿宋_GB2312" w:hAnsi="宋体" w:eastAsia="仿宋_GB2312"/>
          <w:sz w:val="28"/>
          <w:szCs w:val="28"/>
        </w:rPr>
        <w:t>．网络内容安全</w:t>
      </w:r>
    </w:p>
    <w:p>
      <w:pPr>
        <w:spacing w:line="500" w:lineRule="exact"/>
        <w:ind w:firstLine="560" w:firstLineChars="200"/>
        <w:rPr>
          <w:rFonts w:ascii="仿宋" w:hAnsi="仿宋" w:eastAsia="仿宋" w:cs="仿宋"/>
          <w:color w:val="000000"/>
          <w:kern w:val="0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数字内容安全、信息隐藏、视频图像分析、敏感内容检测、网络舆情分析等。</w:t>
      </w:r>
    </w:p>
    <w:p>
      <w:pPr>
        <w:adjustRightInd w:val="0"/>
        <w:snapToGrid w:val="0"/>
        <w:spacing w:line="500" w:lineRule="exact"/>
        <w:ind w:firstLine="560" w:firstLineChars="200"/>
        <w:jc w:val="left"/>
        <w:rPr>
          <w:rFonts w:ascii="仿宋_GB2312" w:hAnsi="华文仿宋" w:eastAsia="仿宋_GB2312"/>
          <w:sz w:val="28"/>
          <w:szCs w:val="28"/>
        </w:rPr>
      </w:pPr>
    </w:p>
    <w:p>
      <w:pPr>
        <w:spacing w:line="500" w:lineRule="exact"/>
        <w:rPr>
          <w:rFonts w:ascii="仿宋_GB2312" w:hAnsi="宋体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b/>
          <w:sz w:val="32"/>
          <w:szCs w:val="32"/>
        </w:rPr>
        <w:t>五、培养方式</w:t>
      </w:r>
    </w:p>
    <w:p>
      <w:pPr>
        <w:adjustRightInd w:val="0"/>
        <w:snapToGrid w:val="0"/>
        <w:spacing w:line="500" w:lineRule="exact"/>
        <w:ind w:firstLine="560" w:firstLineChars="200"/>
        <w:jc w:val="left"/>
        <w:rPr>
          <w:rFonts w:ascii="仿宋_GB2312" w:hAnsi="宋体" w:eastAsia="仿宋_GB2312"/>
          <w:sz w:val="28"/>
          <w:szCs w:val="28"/>
        </w:rPr>
      </w:pPr>
      <w:r>
        <w:rPr>
          <w:rFonts w:ascii="仿宋_GB2312" w:hAnsi="宋体" w:eastAsia="仿宋_GB2312"/>
          <w:sz w:val="28"/>
          <w:szCs w:val="28"/>
        </w:rPr>
        <w:t>1</w:t>
      </w:r>
      <w:r>
        <w:rPr>
          <w:rFonts w:hint="eastAsia" w:ascii="仿宋_GB2312" w:hAnsi="宋体" w:eastAsia="仿宋_GB2312"/>
          <w:sz w:val="28"/>
          <w:szCs w:val="28"/>
        </w:rPr>
        <w:t>、采用全日制培养方式，实行“课程学习</w:t>
      </w:r>
      <w:r>
        <w:rPr>
          <w:rFonts w:ascii="仿宋_GB2312" w:hAnsi="宋体" w:eastAsia="仿宋_GB2312"/>
          <w:sz w:val="28"/>
          <w:szCs w:val="28"/>
        </w:rPr>
        <w:t>+</w:t>
      </w:r>
      <w:r>
        <w:rPr>
          <w:rFonts w:hint="eastAsia" w:ascii="仿宋_GB2312" w:hAnsi="宋体" w:eastAsia="仿宋_GB2312"/>
          <w:sz w:val="28"/>
          <w:szCs w:val="28"/>
        </w:rPr>
        <w:t>学位论文”两阶段培养。</w:t>
      </w:r>
    </w:p>
    <w:p>
      <w:pPr>
        <w:adjustRightInd w:val="0"/>
        <w:snapToGrid w:val="0"/>
        <w:spacing w:line="500" w:lineRule="exact"/>
        <w:ind w:firstLine="560" w:firstLineChars="200"/>
        <w:jc w:val="left"/>
        <w:rPr>
          <w:rFonts w:ascii="仿宋_GB2312" w:hAnsi="宋体" w:eastAsia="仿宋_GB2312"/>
          <w:sz w:val="28"/>
          <w:szCs w:val="28"/>
        </w:rPr>
      </w:pPr>
      <w:r>
        <w:rPr>
          <w:rFonts w:ascii="仿宋_GB2312" w:hAnsi="宋体" w:eastAsia="仿宋_GB2312"/>
          <w:sz w:val="28"/>
          <w:szCs w:val="28"/>
        </w:rPr>
        <w:t>2</w:t>
      </w:r>
      <w:r>
        <w:rPr>
          <w:rFonts w:hint="eastAsia" w:ascii="仿宋_GB2312" w:hAnsi="宋体" w:eastAsia="仿宋_GB2312"/>
          <w:sz w:val="28"/>
          <w:szCs w:val="28"/>
        </w:rPr>
        <w:t>、实行以科研为主导的导师或导师组负责制。导师应有适于培养学生的研究课题和充足的研究经费。导师应与学生定期交流，关心学生的思想品德、学术进展和综合素质，促进其德智体美劳全面发展。</w:t>
      </w:r>
    </w:p>
    <w:p>
      <w:pPr>
        <w:adjustRightInd w:val="0"/>
        <w:snapToGrid w:val="0"/>
        <w:spacing w:line="500" w:lineRule="exact"/>
        <w:ind w:firstLine="560" w:firstLineChars="200"/>
        <w:jc w:val="left"/>
        <w:rPr>
          <w:rFonts w:ascii="仿宋_GB2312" w:hAnsi="宋体" w:eastAsia="仿宋_GB2312"/>
          <w:sz w:val="28"/>
          <w:szCs w:val="28"/>
        </w:rPr>
      </w:pPr>
      <w:r>
        <w:rPr>
          <w:rFonts w:ascii="仿宋_GB2312" w:hAnsi="宋体" w:eastAsia="仿宋_GB2312"/>
          <w:sz w:val="28"/>
          <w:szCs w:val="28"/>
        </w:rPr>
        <w:t>3</w:t>
      </w:r>
      <w:r>
        <w:rPr>
          <w:rFonts w:hint="eastAsia" w:ascii="仿宋_GB2312" w:hAnsi="宋体" w:eastAsia="仿宋_GB2312"/>
          <w:sz w:val="28"/>
          <w:szCs w:val="28"/>
        </w:rPr>
        <w:t>、导师或导师组负责研究生培养计划制定、学位论文选题、中期、论文撰写和学位申请等方面的指导工作。导师或导师组全面负责学生的培养质量，建立规范化的学术交流和学术报告制度，按期检查培养环节的完成情况。</w:t>
      </w:r>
    </w:p>
    <w:p>
      <w:pPr>
        <w:adjustRightInd w:val="0"/>
        <w:snapToGrid w:val="0"/>
        <w:spacing w:line="500" w:lineRule="exact"/>
        <w:ind w:firstLine="560" w:firstLineChars="200"/>
        <w:jc w:val="left"/>
        <w:rPr>
          <w:rFonts w:ascii="仿宋_GB2312" w:hAnsi="宋体" w:eastAsia="仿宋_GB2312"/>
          <w:sz w:val="28"/>
          <w:szCs w:val="28"/>
        </w:rPr>
      </w:pPr>
      <w:r>
        <w:rPr>
          <w:rFonts w:ascii="仿宋_GB2312" w:hAnsi="宋体" w:eastAsia="仿宋_GB2312"/>
          <w:sz w:val="28"/>
          <w:szCs w:val="28"/>
        </w:rPr>
        <w:t>4</w:t>
      </w:r>
      <w:r>
        <w:rPr>
          <w:rFonts w:hint="eastAsia" w:ascii="仿宋_GB2312" w:hAnsi="宋体" w:eastAsia="仿宋_GB2312"/>
          <w:sz w:val="28"/>
          <w:szCs w:val="28"/>
        </w:rPr>
        <w:t>、采用学分制，学生必须通过由学校组织的规定课程的考试，考试课程（科目）成绩达</w:t>
      </w:r>
      <w:r>
        <w:rPr>
          <w:rFonts w:ascii="仿宋_GB2312" w:hAnsi="宋体" w:eastAsia="仿宋_GB2312"/>
          <w:sz w:val="28"/>
          <w:szCs w:val="28"/>
        </w:rPr>
        <w:t xml:space="preserve"> 60 </w:t>
      </w:r>
      <w:r>
        <w:rPr>
          <w:rFonts w:hint="eastAsia" w:ascii="仿宋_GB2312" w:hAnsi="宋体" w:eastAsia="仿宋_GB2312"/>
          <w:sz w:val="28"/>
          <w:szCs w:val="28"/>
        </w:rPr>
        <w:t>分以上（含</w:t>
      </w:r>
      <w:r>
        <w:rPr>
          <w:rFonts w:ascii="仿宋_GB2312" w:hAnsi="宋体" w:eastAsia="仿宋_GB2312"/>
          <w:sz w:val="28"/>
          <w:szCs w:val="28"/>
        </w:rPr>
        <w:t xml:space="preserve"> 60 </w:t>
      </w:r>
      <w:r>
        <w:rPr>
          <w:rFonts w:hint="eastAsia" w:ascii="仿宋_GB2312" w:hAnsi="宋体" w:eastAsia="仿宋_GB2312"/>
          <w:sz w:val="28"/>
          <w:szCs w:val="28"/>
        </w:rPr>
        <w:t>分）、考查课程（科目）合格，可获得培养方案规定的学分。课程成绩由任课教师根据具体教学情况综合评定；其中可包括：课程设计项目、课堂讨论发言、案例分析报告、专题调研报告、文献阅读报告以及期中</w:t>
      </w:r>
      <w:r>
        <w:rPr>
          <w:rFonts w:ascii="仿宋_GB2312" w:hAnsi="宋体" w:eastAsia="仿宋_GB2312"/>
          <w:sz w:val="28"/>
          <w:szCs w:val="28"/>
        </w:rPr>
        <w:t>/</w:t>
      </w:r>
      <w:r>
        <w:rPr>
          <w:rFonts w:hint="eastAsia" w:ascii="仿宋_GB2312" w:hAnsi="宋体" w:eastAsia="仿宋_GB2312"/>
          <w:sz w:val="28"/>
          <w:szCs w:val="28"/>
        </w:rPr>
        <w:t>期末考试等因素综合评定。</w:t>
      </w:r>
    </w:p>
    <w:p>
      <w:pPr>
        <w:adjustRightInd w:val="0"/>
        <w:snapToGrid w:val="0"/>
        <w:spacing w:line="500" w:lineRule="exact"/>
        <w:ind w:firstLine="560" w:firstLineChars="200"/>
        <w:jc w:val="left"/>
        <w:rPr>
          <w:rFonts w:ascii="仿宋_GB2312" w:hAnsi="宋体" w:eastAsia="仿宋_GB2312"/>
          <w:sz w:val="28"/>
          <w:szCs w:val="28"/>
        </w:rPr>
      </w:pPr>
      <w:r>
        <w:rPr>
          <w:rFonts w:ascii="仿宋_GB2312" w:hAnsi="宋体" w:eastAsia="仿宋_GB2312"/>
          <w:sz w:val="28"/>
          <w:szCs w:val="28"/>
        </w:rPr>
        <w:t>5</w:t>
      </w:r>
      <w:r>
        <w:rPr>
          <w:rFonts w:hint="eastAsia" w:ascii="仿宋_GB2312" w:hAnsi="宋体" w:eastAsia="仿宋_GB2312"/>
          <w:sz w:val="28"/>
          <w:szCs w:val="28"/>
        </w:rPr>
        <w:t>、课程考试成绩未达到合格要求者，根据课程情况可申请补考或重修，具体考核细则按《中山大学研究生学业考核管理办法》执行。</w:t>
      </w:r>
      <w:r>
        <w:rPr>
          <w:rFonts w:ascii="仿宋_GB2312" w:hAnsi="宋体" w:eastAsia="仿宋_GB2312"/>
          <w:sz w:val="28"/>
          <w:szCs w:val="28"/>
        </w:rPr>
        <w:t xml:space="preserve"> </w:t>
      </w:r>
    </w:p>
    <w:p>
      <w:pPr>
        <w:adjustRightInd w:val="0"/>
        <w:snapToGrid w:val="0"/>
        <w:spacing w:line="500" w:lineRule="exact"/>
        <w:ind w:firstLine="560" w:firstLineChars="200"/>
        <w:jc w:val="left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（</w:t>
      </w:r>
      <w:r>
        <w:rPr>
          <w:rFonts w:ascii="仿宋_GB2312" w:hAnsi="宋体" w:eastAsia="仿宋_GB2312"/>
          <w:sz w:val="28"/>
          <w:szCs w:val="28"/>
        </w:rPr>
        <w:t>1</w:t>
      </w:r>
      <w:r>
        <w:rPr>
          <w:rFonts w:hint="eastAsia" w:ascii="仿宋_GB2312" w:hAnsi="宋体" w:eastAsia="仿宋_GB2312"/>
          <w:sz w:val="28"/>
          <w:szCs w:val="28"/>
        </w:rPr>
        <w:t>）必修课程（科目）考试不合格者须补考或重修。凡累计</w:t>
      </w:r>
      <w:r>
        <w:rPr>
          <w:rFonts w:ascii="仿宋_GB2312" w:hAnsi="宋体" w:eastAsia="仿宋_GB2312"/>
          <w:sz w:val="28"/>
          <w:szCs w:val="28"/>
        </w:rPr>
        <w:t xml:space="preserve"> 3 </w:t>
      </w:r>
      <w:r>
        <w:rPr>
          <w:rFonts w:hint="eastAsia" w:ascii="仿宋_GB2312" w:hAnsi="宋体" w:eastAsia="仿宋_GB2312"/>
          <w:sz w:val="28"/>
          <w:szCs w:val="28"/>
        </w:rPr>
        <w:t>门次及以上必修课程（科目）考试不合格者（含补考和重修后不合格的）不得补考或重修，按《中山大学研究生学籍管理规定》关于退学的相关规定进行处理。</w:t>
      </w:r>
    </w:p>
    <w:p>
      <w:pPr>
        <w:adjustRightInd w:val="0"/>
        <w:snapToGrid w:val="0"/>
        <w:spacing w:line="500" w:lineRule="exact"/>
        <w:ind w:firstLine="560" w:firstLineChars="200"/>
        <w:jc w:val="left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（</w:t>
      </w:r>
      <w:r>
        <w:rPr>
          <w:rFonts w:ascii="仿宋_GB2312" w:hAnsi="宋体" w:eastAsia="仿宋_GB2312"/>
          <w:sz w:val="28"/>
          <w:szCs w:val="28"/>
        </w:rPr>
        <w:t>2</w:t>
      </w:r>
      <w:r>
        <w:rPr>
          <w:rFonts w:hint="eastAsia" w:ascii="仿宋_GB2312" w:hAnsi="宋体" w:eastAsia="仿宋_GB2312"/>
          <w:sz w:val="28"/>
          <w:szCs w:val="28"/>
        </w:rPr>
        <w:t>）研究生选修课程不合格，除经导师同意改选其他选修课程外，一般应补考或重修。经导师同意，改选其他选修课程的，原不合格选修课程成绩按实际分数登记。</w:t>
      </w:r>
    </w:p>
    <w:p>
      <w:pPr>
        <w:adjustRightInd w:val="0"/>
        <w:snapToGrid w:val="0"/>
        <w:spacing w:line="500" w:lineRule="exact"/>
        <w:ind w:firstLine="560" w:firstLineChars="200"/>
        <w:jc w:val="left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（</w:t>
      </w:r>
      <w:r>
        <w:rPr>
          <w:rFonts w:ascii="仿宋_GB2312" w:hAnsi="宋体" w:eastAsia="仿宋_GB2312"/>
          <w:sz w:val="28"/>
          <w:szCs w:val="28"/>
        </w:rPr>
        <w:t>3</w:t>
      </w:r>
      <w:r>
        <w:rPr>
          <w:rFonts w:hint="eastAsia" w:ascii="仿宋_GB2312" w:hAnsi="宋体" w:eastAsia="仿宋_GB2312"/>
          <w:sz w:val="28"/>
          <w:szCs w:val="28"/>
        </w:rPr>
        <w:t>）补考：每门课程只允许补考一次。补考成绩达到</w:t>
      </w:r>
      <w:r>
        <w:rPr>
          <w:rFonts w:ascii="仿宋_GB2312" w:hAnsi="宋体" w:eastAsia="仿宋_GB2312"/>
          <w:sz w:val="28"/>
          <w:szCs w:val="28"/>
        </w:rPr>
        <w:t xml:space="preserve"> 60 </w:t>
      </w:r>
      <w:r>
        <w:rPr>
          <w:rFonts w:hint="eastAsia" w:ascii="仿宋_GB2312" w:hAnsi="宋体" w:eastAsia="仿宋_GB2312"/>
          <w:sz w:val="28"/>
          <w:szCs w:val="28"/>
        </w:rPr>
        <w:t>分以上（含</w:t>
      </w:r>
      <w:r>
        <w:rPr>
          <w:rFonts w:ascii="仿宋_GB2312" w:hAnsi="宋体" w:eastAsia="仿宋_GB2312"/>
          <w:sz w:val="28"/>
          <w:szCs w:val="28"/>
        </w:rPr>
        <w:t xml:space="preserve"> 60 </w:t>
      </w:r>
      <w:r>
        <w:rPr>
          <w:rFonts w:hint="eastAsia" w:ascii="仿宋_GB2312" w:hAnsi="宋体" w:eastAsia="仿宋_GB2312"/>
          <w:sz w:val="28"/>
          <w:szCs w:val="28"/>
        </w:rPr>
        <w:t>分），按</w:t>
      </w:r>
      <w:r>
        <w:rPr>
          <w:rFonts w:ascii="仿宋_GB2312" w:hAnsi="宋体" w:eastAsia="仿宋_GB2312"/>
          <w:sz w:val="28"/>
          <w:szCs w:val="28"/>
        </w:rPr>
        <w:t xml:space="preserve"> 60 </w:t>
      </w:r>
      <w:r>
        <w:rPr>
          <w:rFonts w:hint="eastAsia" w:ascii="仿宋_GB2312" w:hAnsi="宋体" w:eastAsia="仿宋_GB2312"/>
          <w:sz w:val="28"/>
          <w:szCs w:val="28"/>
        </w:rPr>
        <w:t>分登记；低于</w:t>
      </w:r>
      <w:r>
        <w:rPr>
          <w:rFonts w:ascii="仿宋_GB2312" w:hAnsi="宋体" w:eastAsia="仿宋_GB2312"/>
          <w:sz w:val="28"/>
          <w:szCs w:val="28"/>
        </w:rPr>
        <w:t xml:space="preserve"> 60 </w:t>
      </w:r>
      <w:r>
        <w:rPr>
          <w:rFonts w:hint="eastAsia" w:ascii="仿宋_GB2312" w:hAnsi="宋体" w:eastAsia="仿宋_GB2312"/>
          <w:sz w:val="28"/>
          <w:szCs w:val="28"/>
        </w:rPr>
        <w:t>分的，按实际成绩登记。补考成绩的登记须注明“补考”。</w:t>
      </w:r>
    </w:p>
    <w:p>
      <w:pPr>
        <w:adjustRightInd w:val="0"/>
        <w:snapToGrid w:val="0"/>
        <w:spacing w:line="500" w:lineRule="exact"/>
        <w:ind w:firstLine="560" w:firstLineChars="200"/>
        <w:jc w:val="left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（</w:t>
      </w:r>
      <w:r>
        <w:rPr>
          <w:rFonts w:ascii="仿宋_GB2312" w:hAnsi="宋体" w:eastAsia="仿宋_GB2312"/>
          <w:sz w:val="28"/>
          <w:szCs w:val="28"/>
        </w:rPr>
        <w:t>4</w:t>
      </w:r>
      <w:r>
        <w:rPr>
          <w:rFonts w:hint="eastAsia" w:ascii="仿宋_GB2312" w:hAnsi="宋体" w:eastAsia="仿宋_GB2312"/>
          <w:sz w:val="28"/>
          <w:szCs w:val="28"/>
        </w:rPr>
        <w:t>）重修：每门课程只允许重修一次。课程重修按实际考核成绩登记，注明“重修”。</w:t>
      </w:r>
    </w:p>
    <w:p>
      <w:pPr>
        <w:adjustRightInd w:val="0"/>
        <w:snapToGrid w:val="0"/>
        <w:spacing w:line="500" w:lineRule="exact"/>
        <w:ind w:firstLine="560" w:firstLineChars="200"/>
        <w:jc w:val="left"/>
        <w:rPr>
          <w:rFonts w:ascii="仿宋_GB2312" w:hAnsi="宋体" w:eastAsia="仿宋_GB2312"/>
          <w:sz w:val="28"/>
          <w:szCs w:val="28"/>
        </w:rPr>
      </w:pPr>
      <w:r>
        <w:rPr>
          <w:rFonts w:ascii="仿宋_GB2312" w:hAnsi="宋体" w:eastAsia="仿宋_GB2312"/>
          <w:sz w:val="28"/>
          <w:szCs w:val="28"/>
        </w:rPr>
        <w:t>6</w:t>
      </w:r>
      <w:r>
        <w:rPr>
          <w:rFonts w:hint="eastAsia" w:ascii="仿宋_GB2312" w:hAnsi="宋体" w:eastAsia="仿宋_GB2312"/>
          <w:sz w:val="28"/>
          <w:szCs w:val="28"/>
        </w:rPr>
        <w:t>、符合研究生院免修规定的研究生可免修英语。</w:t>
      </w:r>
    </w:p>
    <w:p>
      <w:pPr>
        <w:adjustRightInd w:val="0"/>
        <w:snapToGrid w:val="0"/>
        <w:spacing w:line="500" w:lineRule="exact"/>
        <w:ind w:firstLine="560" w:firstLineChars="200"/>
        <w:jc w:val="left"/>
        <w:rPr>
          <w:rFonts w:ascii="仿宋_GB2312" w:hAnsi="宋体" w:eastAsia="仿宋_GB2312"/>
          <w:sz w:val="28"/>
          <w:szCs w:val="28"/>
        </w:rPr>
      </w:pPr>
    </w:p>
    <w:p>
      <w:pPr>
        <w:spacing w:line="500" w:lineRule="exact"/>
        <w:rPr>
          <w:rFonts w:ascii="仿宋_GB2312" w:hAnsi="宋体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b/>
          <w:sz w:val="32"/>
          <w:szCs w:val="32"/>
        </w:rPr>
        <w:t>六、课程设置与学分要求</w:t>
      </w:r>
    </w:p>
    <w:p>
      <w:pPr>
        <w:adjustRightInd w:val="0"/>
        <w:snapToGrid w:val="0"/>
        <w:spacing w:line="500" w:lineRule="exact"/>
        <w:ind w:firstLine="560" w:firstLineChars="200"/>
        <w:jc w:val="left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本专业的课程设置见表一。学院开出的选修课，其它专业的学生都可以选修。</w:t>
      </w:r>
    </w:p>
    <w:p>
      <w:pPr>
        <w:adjustRightInd w:val="0"/>
        <w:snapToGrid w:val="0"/>
        <w:spacing w:line="500" w:lineRule="exact"/>
        <w:ind w:firstLine="560" w:firstLineChars="200"/>
        <w:jc w:val="left"/>
        <w:rPr>
          <w:rFonts w:ascii="仿宋_GB2312" w:hAnsi="华文仿宋" w:eastAsia="仿宋_GB2312"/>
          <w:sz w:val="28"/>
          <w:szCs w:val="28"/>
        </w:rPr>
      </w:pPr>
      <w:r>
        <w:rPr>
          <w:rFonts w:ascii="仿宋_GB2312" w:hAnsi="华文仿宋" w:eastAsia="仿宋_GB2312"/>
          <w:sz w:val="28"/>
          <w:szCs w:val="28"/>
        </w:rPr>
        <w:t>1.</w:t>
      </w:r>
      <w:r>
        <w:rPr>
          <w:rFonts w:hint="eastAsia" w:ascii="仿宋_GB2312" w:hAnsi="华文仿宋" w:eastAsia="仿宋_GB2312"/>
          <w:sz w:val="28"/>
          <w:szCs w:val="28"/>
        </w:rPr>
        <w:t>学分要求：</w:t>
      </w:r>
    </w:p>
    <w:p>
      <w:pPr>
        <w:adjustRightInd w:val="0"/>
        <w:snapToGrid w:val="0"/>
        <w:spacing w:line="500" w:lineRule="exact"/>
        <w:ind w:firstLine="560" w:firstLineChars="200"/>
        <w:rPr>
          <w:rFonts w:eastAsia="仿宋_GB2312"/>
          <w:sz w:val="24"/>
        </w:rPr>
      </w:pPr>
      <w:r>
        <w:rPr>
          <w:rFonts w:hint="eastAsia" w:ascii="仿宋_GB2312" w:hAnsi="宋体" w:eastAsia="仿宋_GB2312"/>
          <w:sz w:val="28"/>
          <w:szCs w:val="28"/>
        </w:rPr>
        <w:t>（</w:t>
      </w:r>
      <w:r>
        <w:rPr>
          <w:rFonts w:ascii="仿宋_GB2312" w:hAnsi="宋体" w:eastAsia="仿宋_GB2312"/>
          <w:sz w:val="28"/>
          <w:szCs w:val="28"/>
        </w:rPr>
        <w:t>1</w:t>
      </w:r>
      <w:r>
        <w:rPr>
          <w:rFonts w:hint="eastAsia" w:ascii="仿宋_GB2312" w:hAnsi="宋体" w:eastAsia="仿宋_GB2312"/>
          <w:sz w:val="28"/>
          <w:szCs w:val="28"/>
        </w:rPr>
        <w:t>）本专业必须修满</w:t>
      </w:r>
      <w:r>
        <w:rPr>
          <w:rFonts w:ascii="仿宋_GB2312" w:hAnsi="宋体" w:eastAsia="仿宋_GB2312"/>
          <w:sz w:val="28"/>
          <w:szCs w:val="28"/>
        </w:rPr>
        <w:t>1</w:t>
      </w: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9</w:t>
      </w:r>
      <w:r>
        <w:rPr>
          <w:rFonts w:hint="eastAsia" w:ascii="仿宋_GB2312" w:hAnsi="宋体" w:eastAsia="仿宋_GB2312"/>
          <w:sz w:val="28"/>
          <w:szCs w:val="28"/>
        </w:rPr>
        <w:t>学分，其中公共必修课（</w:t>
      </w:r>
      <w:r>
        <w:rPr>
          <w:rFonts w:ascii="仿宋_GB2312" w:hAnsi="宋体" w:eastAsia="仿宋_GB2312"/>
          <w:sz w:val="28"/>
          <w:szCs w:val="28"/>
        </w:rPr>
        <w:t>8</w:t>
      </w:r>
      <w:r>
        <w:rPr>
          <w:rFonts w:hint="eastAsia" w:ascii="仿宋_GB2312" w:hAnsi="宋体" w:eastAsia="仿宋_GB2312"/>
          <w:sz w:val="28"/>
          <w:szCs w:val="28"/>
        </w:rPr>
        <w:t>个学分）、博士研究生必修课（</w:t>
      </w:r>
      <w:r>
        <w:rPr>
          <w:rFonts w:ascii="仿宋_GB2312" w:hAnsi="宋体" w:eastAsia="仿宋_GB2312"/>
          <w:sz w:val="28"/>
          <w:szCs w:val="28"/>
        </w:rPr>
        <w:t>1</w:t>
      </w: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1</w:t>
      </w:r>
      <w:r>
        <w:rPr>
          <w:rFonts w:hint="eastAsia" w:ascii="仿宋_GB2312" w:hAnsi="宋体" w:eastAsia="仿宋_GB2312"/>
          <w:sz w:val="28"/>
          <w:szCs w:val="28"/>
        </w:rPr>
        <w:t>个学分）。</w:t>
      </w:r>
    </w:p>
    <w:p>
      <w:pPr>
        <w:adjustRightInd w:val="0"/>
        <w:snapToGrid w:val="0"/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bookmarkStart w:id="0" w:name="OLE_LINK1"/>
      <w:r>
        <w:rPr>
          <w:rFonts w:hint="eastAsia" w:ascii="仿宋_GB2312" w:hAnsi="宋体" w:eastAsia="仿宋_GB2312"/>
          <w:sz w:val="28"/>
          <w:szCs w:val="28"/>
        </w:rPr>
        <w:t>（</w:t>
      </w:r>
      <w:r>
        <w:rPr>
          <w:rFonts w:ascii="仿宋_GB2312" w:hAnsi="宋体" w:eastAsia="仿宋_GB2312"/>
          <w:sz w:val="28"/>
          <w:szCs w:val="28"/>
        </w:rPr>
        <w:t>2</w:t>
      </w:r>
      <w:r>
        <w:rPr>
          <w:rFonts w:hint="eastAsia" w:ascii="仿宋_GB2312" w:hAnsi="宋体" w:eastAsia="仿宋_GB2312"/>
          <w:sz w:val="28"/>
          <w:szCs w:val="28"/>
        </w:rPr>
        <w:t>）选修课：</w:t>
      </w:r>
      <w:bookmarkStart w:id="1" w:name="OLE_LINK6"/>
      <w:r>
        <w:rPr>
          <w:rFonts w:hint="eastAsia" w:ascii="仿宋_GB2312" w:hAnsi="宋体" w:eastAsia="仿宋_GB2312"/>
          <w:sz w:val="28"/>
          <w:szCs w:val="28"/>
        </w:rPr>
        <w:t>由导师指定。</w:t>
      </w:r>
    </w:p>
    <w:bookmarkEnd w:id="1"/>
    <w:p>
      <w:pPr>
        <w:adjustRightInd w:val="0"/>
        <w:snapToGrid w:val="0"/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bookmarkStart w:id="2" w:name="OLE_LINK7"/>
      <w:r>
        <w:rPr>
          <w:rFonts w:hint="eastAsia" w:ascii="仿宋_GB2312" w:hAnsi="宋体" w:eastAsia="仿宋_GB2312"/>
          <w:sz w:val="28"/>
          <w:szCs w:val="28"/>
        </w:rPr>
        <w:t>（</w:t>
      </w:r>
      <w:r>
        <w:rPr>
          <w:rFonts w:ascii="仿宋_GB2312" w:hAnsi="宋体" w:eastAsia="仿宋_GB2312"/>
          <w:sz w:val="28"/>
          <w:szCs w:val="28"/>
        </w:rPr>
        <w:t>3</w:t>
      </w:r>
      <w:r>
        <w:rPr>
          <w:rFonts w:hint="eastAsia" w:ascii="仿宋_GB2312" w:hAnsi="宋体" w:eastAsia="仿宋_GB2312"/>
          <w:sz w:val="28"/>
          <w:szCs w:val="28"/>
        </w:rPr>
        <w:t>）补修课：</w:t>
      </w:r>
      <w:bookmarkStart w:id="3" w:name="OLE_LINK9"/>
      <w:r>
        <w:rPr>
          <w:rFonts w:hint="eastAsia" w:ascii="仿宋_GB2312" w:hAnsi="宋体" w:eastAsia="仿宋_GB2312"/>
          <w:sz w:val="28"/>
          <w:szCs w:val="28"/>
        </w:rPr>
        <w:t>硕士专业非本专业的学生，应当补修本专业的主要课程，具体</w:t>
      </w:r>
      <w:r>
        <w:rPr>
          <w:rFonts w:hint="eastAsia" w:eastAsia="仿宋_GB2312"/>
          <w:sz w:val="28"/>
          <w:szCs w:val="28"/>
        </w:rPr>
        <w:t>由导师或导师组指定。</w:t>
      </w:r>
      <w:r>
        <w:rPr>
          <w:rFonts w:hint="eastAsia" w:ascii="仿宋_GB2312" w:hAnsi="宋体" w:eastAsia="仿宋_GB2312"/>
          <w:sz w:val="28"/>
          <w:szCs w:val="28"/>
        </w:rPr>
        <w:t>补修课程要求在第一学年内完成，必须考试通过，不计学分。</w:t>
      </w:r>
      <w:bookmarkEnd w:id="0"/>
      <w:bookmarkEnd w:id="2"/>
      <w:bookmarkEnd w:id="3"/>
    </w:p>
    <w:p>
      <w:pPr>
        <w:adjustRightInd w:val="0"/>
        <w:snapToGrid w:val="0"/>
        <w:spacing w:line="500" w:lineRule="exact"/>
        <w:ind w:firstLine="560" w:firstLineChars="200"/>
        <w:jc w:val="left"/>
        <w:rPr>
          <w:rFonts w:ascii="仿宋_GB2312" w:hAnsi="华文仿宋" w:eastAsia="仿宋_GB2312"/>
          <w:sz w:val="28"/>
          <w:szCs w:val="28"/>
        </w:rPr>
      </w:pPr>
      <w:r>
        <w:rPr>
          <w:rFonts w:ascii="仿宋_GB2312" w:hAnsi="华文仿宋" w:eastAsia="仿宋_GB2312"/>
          <w:sz w:val="28"/>
          <w:szCs w:val="28"/>
        </w:rPr>
        <w:t>2.</w:t>
      </w:r>
      <w:r>
        <w:rPr>
          <w:rFonts w:hint="eastAsia" w:ascii="仿宋_GB2312" w:hAnsi="华文仿宋" w:eastAsia="仿宋_GB2312"/>
          <w:sz w:val="28"/>
          <w:szCs w:val="28"/>
        </w:rPr>
        <w:t>课程设置：</w:t>
      </w:r>
    </w:p>
    <w:p>
      <w:pPr>
        <w:spacing w:line="500" w:lineRule="exact"/>
        <w:jc w:val="center"/>
        <w:rPr>
          <w:rFonts w:ascii="仿宋_GB2312" w:hAnsi="华文仿宋" w:eastAsia="仿宋_GB2312"/>
          <w:sz w:val="28"/>
          <w:szCs w:val="28"/>
        </w:rPr>
      </w:pPr>
      <w:r>
        <w:rPr>
          <w:rFonts w:hint="eastAsia" w:ascii="仿宋_GB2312" w:hAnsi="华文仿宋" w:eastAsia="仿宋_GB2312"/>
          <w:sz w:val="28"/>
          <w:szCs w:val="28"/>
        </w:rPr>
        <w:t>表一：课程设置清单</w:t>
      </w:r>
    </w:p>
    <w:tbl>
      <w:tblPr>
        <w:tblStyle w:val="18"/>
        <w:tblW w:w="90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639"/>
        <w:gridCol w:w="1000"/>
        <w:gridCol w:w="2521"/>
        <w:gridCol w:w="817"/>
        <w:gridCol w:w="749"/>
        <w:gridCol w:w="1459"/>
        <w:gridCol w:w="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776" w:type="dxa"/>
            <w:gridSpan w:val="2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  <w:r>
              <w:rPr>
                <w:rFonts w:hint="eastAsia" w:ascii="仿宋" w:hAnsi="仿宋" w:eastAsia="仿宋"/>
                <w:kern w:val="0"/>
                <w:sz w:val="16"/>
                <w:szCs w:val="16"/>
              </w:rPr>
              <w:t>课程代码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  <w:r>
              <w:rPr>
                <w:rFonts w:hint="eastAsia" w:ascii="仿宋" w:hAnsi="仿宋" w:eastAsia="仿宋"/>
                <w:kern w:val="0"/>
                <w:sz w:val="16"/>
                <w:szCs w:val="16"/>
              </w:rPr>
              <w:t>课程名称</w:t>
            </w:r>
            <w:r>
              <w:rPr>
                <w:rFonts w:ascii="仿宋" w:hAnsi="仿宋" w:eastAsia="仿宋"/>
                <w:kern w:val="0"/>
                <w:sz w:val="16"/>
                <w:szCs w:val="16"/>
              </w:rPr>
              <w:t>/</w:t>
            </w:r>
            <w:r>
              <w:rPr>
                <w:rFonts w:hint="eastAsia" w:ascii="仿宋" w:hAnsi="仿宋" w:eastAsia="仿宋"/>
                <w:kern w:val="0"/>
                <w:sz w:val="16"/>
                <w:szCs w:val="16"/>
              </w:rPr>
              <w:t>英文名称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kern w:val="0"/>
                <w:sz w:val="16"/>
                <w:szCs w:val="16"/>
              </w:rPr>
            </w:pPr>
            <w:r>
              <w:rPr>
                <w:rFonts w:hint="eastAsia" w:ascii="仿宋" w:hAnsi="仿宋" w:eastAsia="仿宋"/>
                <w:kern w:val="0"/>
                <w:sz w:val="16"/>
                <w:szCs w:val="16"/>
              </w:rPr>
              <w:t>学时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kern w:val="0"/>
                <w:sz w:val="16"/>
                <w:szCs w:val="16"/>
              </w:rPr>
            </w:pPr>
            <w:r>
              <w:rPr>
                <w:rFonts w:hint="eastAsia" w:ascii="仿宋" w:hAnsi="仿宋" w:eastAsia="仿宋"/>
                <w:kern w:val="0"/>
                <w:sz w:val="16"/>
                <w:szCs w:val="16"/>
              </w:rPr>
              <w:t>学分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kern w:val="0"/>
                <w:sz w:val="16"/>
                <w:szCs w:val="16"/>
              </w:rPr>
            </w:pPr>
            <w:r>
              <w:rPr>
                <w:rFonts w:hint="eastAsia" w:ascii="仿宋" w:hAnsi="仿宋" w:eastAsia="仿宋"/>
                <w:kern w:val="0"/>
                <w:sz w:val="16"/>
                <w:szCs w:val="16"/>
              </w:rPr>
              <w:t>课程负责人</w:t>
            </w:r>
          </w:p>
        </w:tc>
        <w:tc>
          <w:tcPr>
            <w:tcW w:w="716" w:type="dxa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  <w:r>
              <w:rPr>
                <w:rFonts w:hint="eastAsia" w:ascii="仿宋" w:hAnsi="仿宋" w:eastAsia="仿宋"/>
                <w:kern w:val="0"/>
                <w:sz w:val="16"/>
                <w:szCs w:val="16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1137" w:type="dxa"/>
            <w:vMerge w:val="restart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  <w:r>
              <w:rPr>
                <w:rFonts w:hint="eastAsia" w:ascii="仿宋" w:hAnsi="仿宋" w:eastAsia="仿宋"/>
                <w:kern w:val="0"/>
                <w:sz w:val="16"/>
                <w:szCs w:val="16"/>
              </w:rPr>
              <w:t>必修课（</w:t>
            </w:r>
            <w:r>
              <w:rPr>
                <w:rFonts w:ascii="仿宋" w:hAnsi="仿宋" w:eastAsia="仿宋"/>
                <w:kern w:val="0"/>
                <w:sz w:val="16"/>
                <w:szCs w:val="16"/>
              </w:rPr>
              <w:t>1</w:t>
            </w:r>
            <w:r>
              <w:rPr>
                <w:rFonts w:hint="eastAsia" w:ascii="仿宋" w:hAnsi="仿宋" w:eastAsia="仿宋"/>
                <w:kern w:val="0"/>
                <w:sz w:val="16"/>
                <w:szCs w:val="16"/>
                <w:lang w:val="en-US" w:eastAsia="zh-CN"/>
              </w:rPr>
              <w:t>9</w:t>
            </w:r>
            <w:r>
              <w:rPr>
                <w:rFonts w:hint="eastAsia" w:ascii="仿宋" w:hAnsi="仿宋" w:eastAsia="仿宋"/>
                <w:kern w:val="0"/>
                <w:sz w:val="16"/>
                <w:szCs w:val="16"/>
              </w:rPr>
              <w:t>学分）</w:t>
            </w:r>
          </w:p>
        </w:tc>
        <w:tc>
          <w:tcPr>
            <w:tcW w:w="639" w:type="dxa"/>
            <w:vMerge w:val="restart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  <w:r>
              <w:rPr>
                <w:rFonts w:hint="eastAsia" w:ascii="仿宋" w:hAnsi="仿宋" w:eastAsia="仿宋"/>
                <w:kern w:val="0"/>
                <w:sz w:val="16"/>
                <w:szCs w:val="16"/>
              </w:rPr>
              <w:t>公共课（</w:t>
            </w:r>
            <w:r>
              <w:rPr>
                <w:rFonts w:ascii="仿宋" w:hAnsi="仿宋" w:eastAsia="仿宋"/>
                <w:kern w:val="0"/>
                <w:sz w:val="16"/>
                <w:szCs w:val="16"/>
              </w:rPr>
              <w:t>8</w:t>
            </w:r>
            <w:r>
              <w:rPr>
                <w:rFonts w:hint="eastAsia" w:ascii="仿宋" w:hAnsi="仿宋" w:eastAsia="仿宋"/>
                <w:kern w:val="0"/>
                <w:sz w:val="16"/>
                <w:szCs w:val="16"/>
              </w:rPr>
              <w:t>学分）</w:t>
            </w: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MAR7001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中国马克思主义与当代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Marxism of China and Contemporary World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马克思主义学院</w:t>
            </w:r>
          </w:p>
        </w:tc>
        <w:tc>
          <w:tcPr>
            <w:tcW w:w="716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（秋）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MAR7002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马克思恩格斯列宁经典著作选读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Selected Readings of Marx,Engels and Lenin</w:t>
            </w:r>
            <w:r>
              <w:rPr>
                <w:rFonts w:hint="eastAsia" w:ascii="仿宋" w:hAnsi="仿宋" w:eastAsia="仿宋"/>
                <w:sz w:val="16"/>
                <w:szCs w:val="16"/>
              </w:rPr>
              <w:t>’</w:t>
            </w:r>
            <w:r>
              <w:rPr>
                <w:rFonts w:ascii="仿宋" w:hAnsi="仿宋" w:eastAsia="仿宋"/>
                <w:sz w:val="16"/>
                <w:szCs w:val="16"/>
              </w:rPr>
              <w:t>s Classics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18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1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马克思主义学院</w:t>
            </w:r>
          </w:p>
        </w:tc>
        <w:tc>
          <w:tcPr>
            <w:tcW w:w="716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FL-7001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第一外国语（英语）</w:t>
            </w:r>
            <w:r>
              <w:rPr>
                <w:rFonts w:ascii="仿宋" w:hAnsi="仿宋" w:eastAsia="仿宋"/>
                <w:sz w:val="16"/>
                <w:szCs w:val="16"/>
              </w:rPr>
              <w:t>First Foreign Language(English)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120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5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外国语学院</w:t>
            </w:r>
          </w:p>
        </w:tc>
        <w:tc>
          <w:tcPr>
            <w:tcW w:w="716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（秋）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restart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  <w:r>
              <w:rPr>
                <w:rFonts w:hint="eastAsia" w:ascii="仿宋" w:hAnsi="仿宋" w:eastAsia="仿宋"/>
                <w:kern w:val="0"/>
                <w:sz w:val="16"/>
                <w:szCs w:val="16"/>
              </w:rPr>
              <w:t>专业基础课（</w:t>
            </w:r>
            <w:r>
              <w:rPr>
                <w:rFonts w:hint="eastAsia" w:ascii="仿宋" w:hAnsi="仿宋" w:eastAsia="仿宋"/>
                <w:kern w:val="0"/>
                <w:sz w:val="16"/>
                <w:szCs w:val="16"/>
                <w:lang w:val="en-US" w:eastAsia="zh-CN"/>
              </w:rPr>
              <w:t>5</w:t>
            </w:r>
            <w:r>
              <w:rPr>
                <w:rFonts w:hint="eastAsia" w:ascii="仿宋" w:hAnsi="仿宋" w:eastAsia="仿宋"/>
                <w:kern w:val="0"/>
                <w:sz w:val="16"/>
                <w:szCs w:val="16"/>
              </w:rPr>
              <w:t>学分）</w:t>
            </w: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DCS7101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计算复杂性理论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Theory of Computational Complexity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54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张方国</w:t>
            </w:r>
          </w:p>
        </w:tc>
        <w:tc>
          <w:tcPr>
            <w:tcW w:w="716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（秋）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tcBorders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DCS5186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专业前沿专题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Frontiers Lectures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18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1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导师组</w:t>
            </w:r>
            <w:bookmarkStart w:id="4" w:name="_GoBack"/>
            <w:bookmarkEnd w:id="4"/>
          </w:p>
        </w:tc>
        <w:tc>
          <w:tcPr>
            <w:tcW w:w="716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（秋春）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tcBorders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center"/>
              <w:rPr>
                <w:rFonts w:hint="default" w:ascii="仿宋" w:hAnsi="仿宋" w:eastAsia="仿宋" w:cs="Times New Roman"/>
                <w:color w:val="FF0000"/>
                <w:kern w:val="0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color w:val="FF0000"/>
                <w:kern w:val="0"/>
                <w:sz w:val="16"/>
                <w:szCs w:val="16"/>
                <w:lang w:val="en-US" w:eastAsia="zh-CN"/>
              </w:rPr>
              <w:t>DCS5189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_GB2312" w:hAnsi="华文仿宋" w:eastAsia="仿宋_GB2312"/>
                <w:color w:val="FF0000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color w:val="FF0000"/>
                <w:kern w:val="0"/>
                <w:sz w:val="16"/>
                <w:szCs w:val="16"/>
              </w:rPr>
              <w:t>学术规范与论文写作</w:t>
            </w:r>
          </w:p>
          <w:p>
            <w:pPr>
              <w:snapToGrid w:val="0"/>
              <w:contextualSpacing/>
              <w:rPr>
                <w:rFonts w:ascii="仿宋_GB2312" w:hAnsi="华文仿宋" w:eastAsia="仿宋_GB2312" w:cs="Times New Roman"/>
                <w:color w:val="FF0000"/>
                <w:kern w:val="0"/>
                <w:sz w:val="16"/>
                <w:szCs w:val="16"/>
                <w:lang w:val="en-US" w:eastAsia="zh-CN" w:bidi="ar-SA"/>
              </w:rPr>
            </w:pPr>
            <w:r>
              <w:rPr>
                <w:rFonts w:ascii="仿宋_GB2312" w:hAnsi="华文仿宋" w:eastAsia="仿宋_GB2312"/>
                <w:color w:val="FF0000"/>
                <w:kern w:val="0"/>
                <w:sz w:val="16"/>
                <w:szCs w:val="16"/>
              </w:rPr>
              <w:t>Academic Norm and Writing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 w:cs="Times New Roman"/>
                <w:color w:val="FF0000"/>
                <w:kern w:val="0"/>
                <w:sz w:val="16"/>
                <w:szCs w:val="16"/>
                <w:lang w:val="en-US" w:eastAsia="zh-CN" w:bidi="ar-SA"/>
              </w:rPr>
            </w:pPr>
            <w:r>
              <w:rPr>
                <w:rFonts w:ascii="仿宋_GB2312" w:hAnsi="华文仿宋" w:eastAsia="仿宋_GB2312"/>
                <w:color w:val="FF0000"/>
                <w:kern w:val="0"/>
                <w:sz w:val="16"/>
                <w:szCs w:val="16"/>
              </w:rPr>
              <w:t>18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 w:cs="Times New Roman"/>
                <w:color w:val="FF0000"/>
                <w:kern w:val="0"/>
                <w:sz w:val="16"/>
                <w:szCs w:val="16"/>
                <w:lang w:val="en-US" w:eastAsia="zh-CN" w:bidi="ar-SA"/>
              </w:rPr>
            </w:pPr>
            <w:r>
              <w:rPr>
                <w:rFonts w:ascii="仿宋_GB2312" w:hAnsi="华文仿宋" w:eastAsia="仿宋_GB2312"/>
                <w:color w:val="FF0000"/>
                <w:kern w:val="0"/>
                <w:sz w:val="16"/>
                <w:szCs w:val="16"/>
              </w:rPr>
              <w:t>1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rPr>
                <w:rFonts w:hint="eastAsia" w:ascii="仿宋_GB2312" w:hAnsi="华文仿宋" w:eastAsia="仿宋_GB2312" w:cs="Times New Roman"/>
                <w:color w:val="FF0000"/>
                <w:kern w:val="0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仿宋_GB2312" w:hAnsi="华文仿宋" w:eastAsia="仿宋_GB2312"/>
                <w:color w:val="FF0000"/>
                <w:kern w:val="0"/>
                <w:sz w:val="16"/>
                <w:szCs w:val="16"/>
              </w:rPr>
              <w:t>导师组</w:t>
            </w:r>
          </w:p>
        </w:tc>
        <w:tc>
          <w:tcPr>
            <w:tcW w:w="716" w:type="dxa"/>
            <w:vAlign w:val="center"/>
          </w:tcPr>
          <w:p>
            <w:pPr>
              <w:snapToGrid w:val="0"/>
              <w:contextualSpacing/>
              <w:rPr>
                <w:rFonts w:hint="eastAsia" w:ascii="仿宋_GB2312" w:hAnsi="华文仿宋" w:eastAsia="仿宋_GB2312" w:cs="Times New Roman"/>
                <w:color w:val="FF0000"/>
                <w:kern w:val="0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仿宋_GB2312" w:hAnsi="华文仿宋" w:eastAsia="仿宋_GB2312"/>
                <w:color w:val="FF0000"/>
                <w:kern w:val="0"/>
                <w:sz w:val="16"/>
                <w:szCs w:val="16"/>
              </w:rPr>
              <w:t>（秋）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restart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  <w:r>
              <w:rPr>
                <w:rFonts w:hint="eastAsia" w:ascii="仿宋" w:hAnsi="仿宋" w:eastAsia="仿宋"/>
                <w:kern w:val="0"/>
                <w:sz w:val="16"/>
                <w:szCs w:val="16"/>
              </w:rPr>
              <w:t>专业课（不少于</w:t>
            </w:r>
            <w:r>
              <w:rPr>
                <w:rFonts w:ascii="仿宋" w:hAnsi="仿宋" w:eastAsia="仿宋"/>
                <w:kern w:val="0"/>
                <w:sz w:val="16"/>
                <w:szCs w:val="16"/>
              </w:rPr>
              <w:t>6</w:t>
            </w:r>
            <w:r>
              <w:rPr>
                <w:rFonts w:hint="eastAsia" w:ascii="仿宋" w:hAnsi="仿宋" w:eastAsia="仿宋"/>
                <w:kern w:val="0"/>
                <w:sz w:val="16"/>
                <w:szCs w:val="16"/>
              </w:rPr>
              <w:t>学分）</w:t>
            </w: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DCS5101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随机过程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Stochastic Process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54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马啸、龚杰、杜育松、周育人</w:t>
            </w:r>
          </w:p>
        </w:tc>
        <w:tc>
          <w:tcPr>
            <w:tcW w:w="716" w:type="dxa"/>
            <w:vMerge w:val="restart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数理模块</w:t>
            </w:r>
            <w:r>
              <w:rPr>
                <w:rFonts w:ascii="仿宋" w:hAnsi="仿宋" w:eastAsia="仿宋"/>
                <w:sz w:val="16"/>
                <w:szCs w:val="16"/>
              </w:rPr>
              <w:t>5</w:t>
            </w:r>
            <w:r>
              <w:rPr>
                <w:rFonts w:hint="eastAsia" w:ascii="仿宋" w:hAnsi="仿宋" w:eastAsia="仿宋"/>
                <w:sz w:val="16"/>
                <w:szCs w:val="16"/>
              </w:rPr>
              <w:t>选</w:t>
            </w:r>
            <w:r>
              <w:rPr>
                <w:rFonts w:ascii="仿宋" w:hAnsi="仿宋" w:eastAsia="仿宋"/>
                <w:sz w:val="16"/>
                <w:szCs w:val="16"/>
              </w:rPr>
              <w:t>1</w:t>
            </w:r>
            <w:r>
              <w:rPr>
                <w:rFonts w:hint="eastAsia" w:ascii="仿宋" w:hAnsi="仿宋" w:eastAsia="仿宋"/>
                <w:sz w:val="16"/>
                <w:szCs w:val="16"/>
              </w:rPr>
              <w:t>（秋、春）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DCS5170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泛函分析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Functional Analysis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54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杨宏奇、张永东、陆遥</w:t>
            </w:r>
          </w:p>
        </w:tc>
        <w:tc>
          <w:tcPr>
            <w:tcW w:w="716" w:type="dxa"/>
            <w:vMerge w:val="continue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DCS5171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高等数值计算方法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Higher Numerical Calculation Methods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54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邹青松、张雨浓、谭志军、汪涛、黎卫兵</w:t>
            </w:r>
          </w:p>
        </w:tc>
        <w:tc>
          <w:tcPr>
            <w:tcW w:w="716" w:type="dxa"/>
            <w:vMerge w:val="continue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DCS5102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矩阵分析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Matrix Analysis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54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陈佩、马锦华、陈川、李全忠</w:t>
            </w:r>
          </w:p>
        </w:tc>
        <w:tc>
          <w:tcPr>
            <w:tcW w:w="716" w:type="dxa"/>
            <w:vMerge w:val="continue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DCS5103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最优化理论与方法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Theory and Algorithms for Optimization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54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王国利、凌青、汪涛、李洽、衣杨</w:t>
            </w:r>
          </w:p>
        </w:tc>
        <w:tc>
          <w:tcPr>
            <w:tcW w:w="716" w:type="dxa"/>
            <w:vMerge w:val="continue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DCS5185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现代偏微分方程计算方法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Modern Methods for Calculating Partial Differential Equations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54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邹青松、谭志军</w:t>
            </w:r>
          </w:p>
        </w:tc>
        <w:tc>
          <w:tcPr>
            <w:tcW w:w="716" w:type="dxa"/>
            <w:vMerge w:val="restart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专业基础模块</w:t>
            </w:r>
            <w:r>
              <w:rPr>
                <w:rFonts w:ascii="仿宋" w:hAnsi="仿宋" w:eastAsia="仿宋"/>
                <w:sz w:val="16"/>
                <w:szCs w:val="16"/>
              </w:rPr>
              <w:t>8</w:t>
            </w:r>
            <w:r>
              <w:rPr>
                <w:rFonts w:hint="eastAsia" w:ascii="仿宋" w:hAnsi="仿宋" w:eastAsia="仿宋"/>
                <w:sz w:val="16"/>
                <w:szCs w:val="16"/>
              </w:rPr>
              <w:t>选</w:t>
            </w:r>
            <w:r>
              <w:rPr>
                <w:rFonts w:ascii="仿宋" w:hAnsi="仿宋" w:eastAsia="仿宋"/>
                <w:sz w:val="16"/>
                <w:szCs w:val="16"/>
              </w:rPr>
              <w:t>1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（秋、春）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DCS5172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高级算法设计与分析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Advanced Algorithms and Programming Techniques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54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凌应标、戴智明、张子臻、冯剑琳</w:t>
            </w:r>
          </w:p>
        </w:tc>
        <w:tc>
          <w:tcPr>
            <w:tcW w:w="716" w:type="dxa"/>
            <w:vMerge w:val="continue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DCS5109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高级计算机体系结构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Advanced Computer Architecture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54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吴迪、黄凯、胡淼、张献伟、陈志广</w:t>
            </w:r>
          </w:p>
        </w:tc>
        <w:tc>
          <w:tcPr>
            <w:tcW w:w="716" w:type="dxa"/>
            <w:vMerge w:val="continue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DCS5173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高级人工智能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Advanced Artificial Intelligence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54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王甲海、潘嵘、方艳梅、饶洋辉、林倞、李冠彬、卓汉逵、赖韩江、苏勤亮</w:t>
            </w:r>
          </w:p>
        </w:tc>
        <w:tc>
          <w:tcPr>
            <w:tcW w:w="716" w:type="dxa"/>
            <w:vMerge w:val="continue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DCS5174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高级计算机网络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Advanced Computer Networks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54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农革、温武少、周杰英、余顺争、张晓溪</w:t>
            </w:r>
          </w:p>
        </w:tc>
        <w:tc>
          <w:tcPr>
            <w:tcW w:w="716" w:type="dxa"/>
            <w:vMerge w:val="continue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DCS5175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高级数据库技术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Advanced Database Technology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54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刘玉葆、饶洋辉</w:t>
            </w:r>
          </w:p>
        </w:tc>
        <w:tc>
          <w:tcPr>
            <w:tcW w:w="716" w:type="dxa"/>
            <w:vMerge w:val="continue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DCS5176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并行算法设计与分析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Parallel Algorithms and Programming Techniques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54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沈鸿、黄聃、陶钧</w:t>
            </w:r>
          </w:p>
        </w:tc>
        <w:tc>
          <w:tcPr>
            <w:tcW w:w="716" w:type="dxa"/>
            <w:vMerge w:val="continue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DCS5179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计算机程序理论与模型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Computer Program Theory and Modeling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54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万海、张治国、周晓聪、李文军</w:t>
            </w:r>
          </w:p>
        </w:tc>
        <w:tc>
          <w:tcPr>
            <w:tcW w:w="716" w:type="dxa"/>
            <w:vMerge w:val="continue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DCS5180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可计算性与数理逻辑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Computability and Mathematical Logic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54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刘咏梅、周晓聪</w:t>
            </w:r>
          </w:p>
        </w:tc>
        <w:tc>
          <w:tcPr>
            <w:tcW w:w="716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（秋）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DCS5181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嵌入式系统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Embedded Systems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54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陈刚、吴贺俊、黄凯</w:t>
            </w:r>
          </w:p>
        </w:tc>
        <w:tc>
          <w:tcPr>
            <w:tcW w:w="716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DCS5182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高级分布式系统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Advanced Distributed Systems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54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陈鹏飞、吴维刚、林小拉、黄华威</w:t>
            </w:r>
          </w:p>
        </w:tc>
        <w:tc>
          <w:tcPr>
            <w:tcW w:w="716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DCS7108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模式识别</w:t>
            </w:r>
            <w:r>
              <w:rPr>
                <w:rFonts w:ascii="仿宋" w:hAnsi="仿宋" w:eastAsia="仿宋"/>
                <w:sz w:val="16"/>
                <w:szCs w:val="16"/>
              </w:rPr>
              <w:t xml:space="preserve"> 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Pattern Recognition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54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郑伟诗、王瑞轩、杨猛、郑慧诚、胡建芳、李冠彬、张冬雨</w:t>
            </w:r>
          </w:p>
        </w:tc>
        <w:tc>
          <w:tcPr>
            <w:tcW w:w="716" w:type="dxa"/>
            <w:vAlign w:val="center"/>
          </w:tcPr>
          <w:p>
            <w:pPr>
              <w:jc w:val="center"/>
            </w:pPr>
            <w:r>
              <w:rPr>
                <w:rFonts w:hint="eastAsia" w:ascii="仿宋" w:hAnsi="仿宋" w:eastAsia="仿宋"/>
                <w:sz w:val="16"/>
                <w:szCs w:val="16"/>
              </w:rPr>
              <w:t>（秋）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DCS5183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高级网络与信息安全技术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Advanced Network and Information Security Technology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54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</w:t>
            </w:r>
          </w:p>
        </w:tc>
        <w:tc>
          <w:tcPr>
            <w:tcW w:w="1459" w:type="dxa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金舒原、黄方军、卢伟、龙冬阳、谢逸、郑培嘉、刘红梅</w:t>
            </w:r>
          </w:p>
        </w:tc>
        <w:tc>
          <w:tcPr>
            <w:tcW w:w="716" w:type="dxa"/>
            <w:vAlign w:val="center"/>
          </w:tcPr>
          <w:p>
            <w:pPr>
              <w:jc w:val="center"/>
            </w:pPr>
            <w:r>
              <w:rPr>
                <w:rFonts w:hint="eastAsia" w:ascii="仿宋" w:hAnsi="仿宋" w:eastAsia="仿宋"/>
                <w:sz w:val="16"/>
                <w:szCs w:val="16"/>
              </w:rPr>
              <w:t>（秋）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DCS5184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无线通信与网络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Wireless Communications and Networking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54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龚杰、李全忠、倪江群、卞静、康显桂</w:t>
            </w:r>
          </w:p>
        </w:tc>
        <w:tc>
          <w:tcPr>
            <w:tcW w:w="716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  <w:r>
              <w:rPr>
                <w:rFonts w:hint="eastAsia" w:ascii="仿宋" w:hAnsi="仿宋" w:eastAsia="仿宋"/>
                <w:kern w:val="0"/>
                <w:sz w:val="16"/>
                <w:szCs w:val="16"/>
              </w:rPr>
              <w:t>选修课（导师指定）</w:t>
            </w:r>
          </w:p>
        </w:tc>
        <w:tc>
          <w:tcPr>
            <w:tcW w:w="639" w:type="dxa"/>
            <w:vMerge w:val="restart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  <w:r>
              <w:rPr>
                <w:rFonts w:hint="eastAsia" w:ascii="仿宋" w:hAnsi="仿宋" w:eastAsia="仿宋"/>
                <w:kern w:val="0"/>
                <w:sz w:val="16"/>
                <w:szCs w:val="16"/>
              </w:rPr>
              <w:t>理论与算法</w:t>
            </w: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DCS6264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界面问题数值方法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Numerical Methods for Interface Problems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谭志军</w:t>
            </w:r>
          </w:p>
        </w:tc>
        <w:tc>
          <w:tcPr>
            <w:tcW w:w="716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DCS6288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复变函数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Functions of Complex Variables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骆伟祺</w:t>
            </w:r>
          </w:p>
        </w:tc>
        <w:tc>
          <w:tcPr>
            <w:tcW w:w="716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（秋）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DCS6267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线性积分方程理论与算法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Theory and Algorithms of Linear Integral Equations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杨宏奇、江颖</w:t>
            </w:r>
          </w:p>
        </w:tc>
        <w:tc>
          <w:tcPr>
            <w:tcW w:w="716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DCS6268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反问题求解算法与应用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Inverse Problem Solving Algorithms and Applications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衡益</w:t>
            </w:r>
          </w:p>
        </w:tc>
        <w:tc>
          <w:tcPr>
            <w:tcW w:w="716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DCS6195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图论算法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Graph Theory Algorithm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娄定俊</w:t>
            </w:r>
          </w:p>
        </w:tc>
        <w:tc>
          <w:tcPr>
            <w:tcW w:w="716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（秋）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DCS6269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量子计算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Quantum Computation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邱道文、李绿周</w:t>
            </w:r>
          </w:p>
        </w:tc>
        <w:tc>
          <w:tcPr>
            <w:tcW w:w="716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(</w:t>
            </w:r>
            <w:r>
              <w:rPr>
                <w:rFonts w:hint="eastAsia" w:ascii="仿宋" w:hAnsi="仿宋" w:eastAsia="仿宋"/>
                <w:sz w:val="16"/>
                <w:szCs w:val="16"/>
              </w:rPr>
              <w:t>春</w:t>
            </w:r>
            <w:r>
              <w:rPr>
                <w:rFonts w:ascii="仿宋" w:hAnsi="仿宋" w:eastAsia="仿宋"/>
                <w:sz w:val="16"/>
                <w:szCs w:val="16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DCS6180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形式语言与自动机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Formal Language and Automata Theory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邱道文</w:t>
            </w:r>
          </w:p>
        </w:tc>
        <w:tc>
          <w:tcPr>
            <w:tcW w:w="716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DCS6239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有限域基础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Introduction to Finite Fields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韦宝典、杜育松、郑培嘉</w:t>
            </w:r>
          </w:p>
        </w:tc>
        <w:tc>
          <w:tcPr>
            <w:tcW w:w="716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restart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  <w:r>
              <w:rPr>
                <w:rFonts w:hint="eastAsia" w:ascii="仿宋" w:hAnsi="仿宋" w:eastAsia="仿宋"/>
                <w:kern w:val="0"/>
                <w:sz w:val="16"/>
                <w:szCs w:val="16"/>
              </w:rPr>
              <w:t>系统与网络</w:t>
            </w: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DCS6270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边缘计算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Edge Computing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陈旭、周知</w:t>
            </w:r>
          </w:p>
        </w:tc>
        <w:tc>
          <w:tcPr>
            <w:tcW w:w="716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DCS6271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软硬件协同设计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hardware software co design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陈刚</w:t>
            </w:r>
          </w:p>
        </w:tc>
        <w:tc>
          <w:tcPr>
            <w:tcW w:w="716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DCS6260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大数据存储技术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Big Data Storage Technology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陈志广、肖侬</w:t>
            </w:r>
          </w:p>
        </w:tc>
        <w:tc>
          <w:tcPr>
            <w:tcW w:w="716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DCS6287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数据科学与工程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Data Science and Engineering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周杰英、吴维刚</w:t>
            </w:r>
          </w:p>
        </w:tc>
        <w:tc>
          <w:tcPr>
            <w:tcW w:w="716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（秋）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DCS6272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网络测量与性能分析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Network measurement and performance analysis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谢逸、余顺争、周杰英</w:t>
            </w:r>
          </w:p>
        </w:tc>
        <w:tc>
          <w:tcPr>
            <w:tcW w:w="716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DCS6290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区块链原理与技术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Blockchain Principles and Technologies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黄华威、陈亮、吴嘉婧</w:t>
            </w:r>
          </w:p>
        </w:tc>
        <w:tc>
          <w:tcPr>
            <w:tcW w:w="716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restart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  <w:r>
              <w:rPr>
                <w:rFonts w:ascii="仿宋" w:hAnsi="仿宋" w:eastAsia="仿宋"/>
                <w:kern w:val="0"/>
                <w:sz w:val="16"/>
                <w:szCs w:val="16"/>
              </w:rPr>
              <w:t>AI</w:t>
            </w:r>
            <w:r>
              <w:rPr>
                <w:rFonts w:hint="eastAsia" w:ascii="仿宋" w:hAnsi="仿宋" w:eastAsia="仿宋"/>
                <w:kern w:val="0"/>
                <w:sz w:val="16"/>
                <w:szCs w:val="16"/>
              </w:rPr>
              <w:t>与大数据</w:t>
            </w: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DCS6173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数据挖掘</w:t>
            </w:r>
            <w:r>
              <w:rPr>
                <w:rFonts w:ascii="仿宋" w:hAnsi="仿宋" w:eastAsia="仿宋"/>
                <w:sz w:val="16"/>
                <w:szCs w:val="16"/>
              </w:rPr>
              <w:t xml:space="preserve"> 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Data Mining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潘嵘、王昌栋、陈林、梁上松、郑培嘉、任江涛</w:t>
            </w:r>
          </w:p>
        </w:tc>
        <w:tc>
          <w:tcPr>
            <w:tcW w:w="716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DCS5119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数字图像处理</w:t>
            </w:r>
            <w:r>
              <w:rPr>
                <w:rFonts w:ascii="仿宋" w:hAnsi="仿宋" w:eastAsia="仿宋"/>
                <w:sz w:val="16"/>
                <w:szCs w:val="16"/>
              </w:rPr>
              <w:t xml:space="preserve">   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Digital Image Processing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54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赖剑煌、谢晓华、朝红阳、倪江群、郑慧诚、刘宁、曾坤、罗志宏、潘炎</w:t>
            </w:r>
          </w:p>
        </w:tc>
        <w:tc>
          <w:tcPr>
            <w:tcW w:w="716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（秋）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DCS6262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深度学习前沿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Frontiers of Deep Learning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王瑞轩、胡建芳</w:t>
            </w:r>
          </w:p>
        </w:tc>
        <w:tc>
          <w:tcPr>
            <w:tcW w:w="716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DCS6203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知识表示与推理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Knowledge Representation and Reasoning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刘咏梅、万海</w:t>
            </w:r>
          </w:p>
        </w:tc>
        <w:tc>
          <w:tcPr>
            <w:tcW w:w="716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DCS6273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无人系统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Unmanned Systems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成慧、黄凯、陈刚、谭宁、吴贺俊、潘永平、陈龙</w:t>
            </w:r>
          </w:p>
        </w:tc>
        <w:tc>
          <w:tcPr>
            <w:tcW w:w="716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DCS6266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自然语言处理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Natural Language Processing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权小军、潘炎、杨猛、潘嵘</w:t>
            </w:r>
          </w:p>
        </w:tc>
        <w:tc>
          <w:tcPr>
            <w:tcW w:w="716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DCS6289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强化学习原理及应用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Principles and Applications of Reinforcement Learning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余超</w:t>
            </w:r>
          </w:p>
        </w:tc>
        <w:tc>
          <w:tcPr>
            <w:tcW w:w="716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restart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  <w:r>
              <w:rPr>
                <w:rFonts w:hint="eastAsia" w:ascii="仿宋" w:hAnsi="仿宋" w:eastAsia="仿宋"/>
                <w:kern w:val="0"/>
                <w:sz w:val="16"/>
                <w:szCs w:val="16"/>
              </w:rPr>
              <w:t>安全与隐私</w:t>
            </w: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DCS6274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密码学前沿技术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Advanced Topics of Modern Cryptography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张方国、田海博、龙冬阳、杜育松、郑培嘉</w:t>
            </w:r>
          </w:p>
        </w:tc>
        <w:tc>
          <w:tcPr>
            <w:tcW w:w="716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DCS6275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数据隐私保护与安全计算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Data Privacy Protection and Secure Computing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桑应朋、郑培嘉、沈鸿</w:t>
            </w:r>
          </w:p>
        </w:tc>
        <w:tc>
          <w:tcPr>
            <w:tcW w:w="716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DCS6276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多媒体内容安全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Multimedia Content Security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倪江群、黄方军、方艳梅、郑培嘉、刘红梅</w:t>
            </w:r>
          </w:p>
        </w:tc>
        <w:tc>
          <w:tcPr>
            <w:tcW w:w="716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（秋）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DCS6277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密码算法的</w:t>
            </w:r>
            <w:r>
              <w:rPr>
                <w:rFonts w:ascii="仿宋" w:hAnsi="仿宋" w:eastAsia="仿宋"/>
                <w:sz w:val="16"/>
                <w:szCs w:val="16"/>
              </w:rPr>
              <w:t>FPGA</w:t>
            </w:r>
            <w:r>
              <w:rPr>
                <w:rFonts w:hint="eastAsia" w:ascii="仿宋" w:hAnsi="仿宋" w:eastAsia="仿宋"/>
                <w:sz w:val="16"/>
                <w:szCs w:val="16"/>
              </w:rPr>
              <w:t>工程实践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FPGA Engineering Practice for Cryptographic Algorithms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杜育松</w:t>
            </w:r>
          </w:p>
        </w:tc>
        <w:tc>
          <w:tcPr>
            <w:tcW w:w="716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restart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  <w:r>
              <w:rPr>
                <w:rFonts w:hint="eastAsia" w:ascii="仿宋" w:hAnsi="仿宋" w:eastAsia="仿宋"/>
                <w:kern w:val="0"/>
                <w:sz w:val="16"/>
                <w:szCs w:val="16"/>
              </w:rPr>
              <w:t>软件与应用</w:t>
            </w: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DCS6278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面向对象技术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Object-oriented Technology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衣杨、刘聪、刘红梅、王青</w:t>
            </w:r>
          </w:p>
        </w:tc>
        <w:tc>
          <w:tcPr>
            <w:tcW w:w="716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DCS6279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计算可视媒体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Computational Visual Media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王若梅、高成英、苏卓、周凡</w:t>
            </w:r>
          </w:p>
        </w:tc>
        <w:tc>
          <w:tcPr>
            <w:tcW w:w="716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（秋）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DCS6280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软件项目管理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Software Project Management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毛明志、林倞、卞静、王青</w:t>
            </w:r>
          </w:p>
        </w:tc>
        <w:tc>
          <w:tcPr>
            <w:tcW w:w="716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DCS6281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数字几何处理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Digital Geometry Processing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王若梅、高成英、苏卓</w:t>
            </w:r>
          </w:p>
        </w:tc>
        <w:tc>
          <w:tcPr>
            <w:tcW w:w="716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DCS6282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虚拟现实与可视化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Virtual Reality and Visualization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纪庆革、陶钧、周凡</w:t>
            </w:r>
          </w:p>
        </w:tc>
        <w:tc>
          <w:tcPr>
            <w:tcW w:w="716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DCS6283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软件工程理论基础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Fundamentals of Software Engineering Theory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陈亮、吴嘉婧</w:t>
            </w:r>
            <w:r>
              <w:rPr>
                <w:rFonts w:ascii="仿宋" w:hAnsi="仿宋" w:eastAsia="仿宋"/>
                <w:sz w:val="16"/>
                <w:szCs w:val="16"/>
              </w:rPr>
              <w:t>(</w:t>
            </w:r>
            <w:r>
              <w:rPr>
                <w:rFonts w:hint="eastAsia" w:ascii="仿宋" w:hAnsi="仿宋" w:eastAsia="仿宋"/>
                <w:sz w:val="16"/>
                <w:szCs w:val="16"/>
              </w:rPr>
              <w:t>春</w:t>
            </w:r>
            <w:r>
              <w:rPr>
                <w:rFonts w:ascii="仿宋" w:hAnsi="仿宋" w:eastAsia="仿宋"/>
                <w:sz w:val="16"/>
                <w:szCs w:val="16"/>
              </w:rPr>
              <w:t>)</w:t>
            </w:r>
            <w:r>
              <w:rPr>
                <w:rFonts w:hint="eastAsia" w:ascii="仿宋" w:hAnsi="仿宋" w:eastAsia="仿宋"/>
                <w:sz w:val="16"/>
                <w:szCs w:val="16"/>
              </w:rPr>
              <w:t>、陈武辉、周晓聪</w:t>
            </w:r>
          </w:p>
        </w:tc>
        <w:tc>
          <w:tcPr>
            <w:tcW w:w="716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DCS6284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工作流技术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Workflow Technology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余阳、王青</w:t>
            </w:r>
          </w:p>
        </w:tc>
        <w:tc>
          <w:tcPr>
            <w:tcW w:w="716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Align w:val="center"/>
          </w:tcPr>
          <w:p>
            <w:pPr>
              <w:snapToGrid w:val="0"/>
              <w:contextualSpacing/>
              <w:rPr>
                <w:rFonts w:ascii="仿宋" w:hAnsi="仿宋" w:eastAsia="仿宋"/>
                <w:kern w:val="0"/>
                <w:sz w:val="16"/>
                <w:szCs w:val="16"/>
              </w:rPr>
            </w:pPr>
            <w:r>
              <w:rPr>
                <w:rFonts w:hint="eastAsia" w:ascii="仿宋" w:hAnsi="仿宋" w:eastAsia="仿宋"/>
                <w:kern w:val="0"/>
                <w:sz w:val="16"/>
                <w:szCs w:val="16"/>
              </w:rPr>
              <w:t>交叉科学</w:t>
            </w:r>
          </w:p>
        </w:tc>
        <w:tc>
          <w:tcPr>
            <w:tcW w:w="100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DCS6285</w:t>
            </w:r>
          </w:p>
        </w:tc>
        <w:tc>
          <w:tcPr>
            <w:tcW w:w="2521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生物信息计算前沿</w:t>
            </w:r>
          </w:p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Frontiers of Bioinformatics Computing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ascii="仿宋" w:hAnsi="仿宋" w:eastAsia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杨跃东、戴智明</w:t>
            </w:r>
          </w:p>
        </w:tc>
        <w:tc>
          <w:tcPr>
            <w:tcW w:w="716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（秋）</w:t>
            </w:r>
          </w:p>
        </w:tc>
      </w:tr>
    </w:tbl>
    <w:p>
      <w:pPr>
        <w:spacing w:line="500" w:lineRule="exact"/>
        <w:ind w:firstLine="560" w:firstLineChars="200"/>
        <w:rPr>
          <w:rFonts w:ascii="仿宋_GB2312" w:hAnsi="华文仿宋" w:eastAsia="仿宋_GB2312"/>
          <w:sz w:val="28"/>
          <w:szCs w:val="28"/>
        </w:rPr>
      </w:pPr>
    </w:p>
    <w:p>
      <w:pPr>
        <w:spacing w:line="500" w:lineRule="exact"/>
        <w:rPr>
          <w:rFonts w:ascii="仿宋_GB2312" w:hAnsi="宋体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b/>
          <w:sz w:val="32"/>
          <w:szCs w:val="32"/>
        </w:rPr>
        <w:t>七、培养环节与要求</w:t>
      </w:r>
    </w:p>
    <w:p>
      <w:pPr>
        <w:adjustRightInd w:val="0"/>
        <w:snapToGrid w:val="0"/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严格按照中山大学《学位与研究生教育工作手册》的有关规定执行，除完成课程学习任务并修满规定的学分外，要求研究生完</w:t>
      </w:r>
      <w:r>
        <w:rPr>
          <w:rFonts w:hint="eastAsia" w:eastAsia="仿宋_GB2312"/>
          <w:sz w:val="28"/>
          <w:szCs w:val="28"/>
        </w:rPr>
        <w:t>成各个培养环节规定的内容。主要环节及要求包括</w:t>
      </w:r>
      <w:r>
        <w:rPr>
          <w:rFonts w:hint="eastAsia" w:ascii="仿宋_GB2312" w:hAnsi="宋体" w:eastAsia="仿宋_GB2312"/>
          <w:sz w:val="28"/>
          <w:szCs w:val="28"/>
        </w:rPr>
        <w:t>：</w:t>
      </w:r>
    </w:p>
    <w:p>
      <w:pPr>
        <w:adjustRightInd w:val="0"/>
        <w:snapToGrid w:val="0"/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ascii="仿宋_GB2312" w:hAnsi="宋体" w:eastAsia="仿宋_GB2312"/>
          <w:sz w:val="28"/>
          <w:szCs w:val="28"/>
        </w:rPr>
        <w:t>1</w:t>
      </w:r>
      <w:r>
        <w:rPr>
          <w:rFonts w:hint="eastAsia" w:ascii="Calibri" w:hAnsi="Calibri" w:eastAsia="仿宋_GB2312"/>
          <w:sz w:val="28"/>
          <w:szCs w:val="28"/>
        </w:rPr>
        <w:t>、</w:t>
      </w:r>
      <w:r>
        <w:rPr>
          <w:rFonts w:hint="eastAsia" w:ascii="仿宋_GB2312" w:hAnsi="宋体" w:eastAsia="仿宋_GB2312"/>
          <w:sz w:val="28"/>
          <w:szCs w:val="28"/>
        </w:rPr>
        <w:t>读书报告：学生在读期间应认真阅读国内外文献</w:t>
      </w:r>
      <w:r>
        <w:rPr>
          <w:rFonts w:ascii="仿宋_GB2312" w:hAnsi="宋体" w:eastAsia="仿宋_GB2312"/>
          <w:sz w:val="28"/>
          <w:szCs w:val="28"/>
        </w:rPr>
        <w:t>100</w:t>
      </w:r>
      <w:r>
        <w:rPr>
          <w:rFonts w:hint="eastAsia" w:ascii="仿宋_GB2312" w:hAnsi="宋体" w:eastAsia="仿宋_GB2312"/>
          <w:sz w:val="28"/>
          <w:szCs w:val="28"/>
        </w:rPr>
        <w:t>篇以上，写出综述报告，由导师对研究生阅读文献进行检查。读书报告可结合开题报告进行。</w:t>
      </w:r>
    </w:p>
    <w:p>
      <w:pPr>
        <w:adjustRightInd w:val="0"/>
        <w:snapToGrid w:val="0"/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ascii="仿宋_GB2312" w:hAnsi="宋体" w:eastAsia="仿宋_GB2312"/>
          <w:sz w:val="28"/>
          <w:szCs w:val="28"/>
        </w:rPr>
        <w:t>2</w:t>
      </w:r>
      <w:r>
        <w:rPr>
          <w:rFonts w:hint="eastAsia" w:ascii="Calibri" w:hAnsi="Calibri" w:eastAsia="仿宋_GB2312"/>
          <w:sz w:val="28"/>
          <w:szCs w:val="28"/>
        </w:rPr>
        <w:t>、</w:t>
      </w:r>
      <w:r>
        <w:rPr>
          <w:rFonts w:hint="eastAsia" w:ascii="仿宋_GB2312" w:hAnsi="宋体" w:eastAsia="仿宋_GB2312"/>
          <w:sz w:val="28"/>
          <w:szCs w:val="28"/>
        </w:rPr>
        <w:t>学术活动：博士生在论文工作期间每学年至少做一次学术报告；至少有一次在全国性或国际学术会议上报告自己撰写的论文。博士生在学期间应参加</w:t>
      </w:r>
      <w:r>
        <w:rPr>
          <w:rFonts w:ascii="仿宋_GB2312" w:hAnsi="宋体" w:eastAsia="仿宋_GB2312"/>
          <w:sz w:val="28"/>
          <w:szCs w:val="28"/>
        </w:rPr>
        <w:t>30</w:t>
      </w:r>
      <w:r>
        <w:rPr>
          <w:rFonts w:hint="eastAsia" w:ascii="仿宋_GB2312" w:hAnsi="宋体" w:eastAsia="仿宋_GB2312"/>
          <w:sz w:val="28"/>
          <w:szCs w:val="28"/>
        </w:rPr>
        <w:t>次以上学术报告，其中至少</w:t>
      </w:r>
      <w:r>
        <w:rPr>
          <w:rFonts w:ascii="仿宋_GB2312" w:hAnsi="宋体" w:eastAsia="仿宋_GB2312"/>
          <w:sz w:val="28"/>
          <w:szCs w:val="28"/>
        </w:rPr>
        <w:t>2</w:t>
      </w:r>
      <w:r>
        <w:rPr>
          <w:rFonts w:hint="eastAsia" w:ascii="仿宋_GB2312" w:hAnsi="宋体" w:eastAsia="仿宋_GB2312"/>
          <w:sz w:val="28"/>
          <w:szCs w:val="28"/>
        </w:rPr>
        <w:t>次为跨二级学科的学术报告。</w:t>
      </w:r>
    </w:p>
    <w:p>
      <w:pPr>
        <w:adjustRightInd w:val="0"/>
        <w:snapToGrid w:val="0"/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ascii="仿宋_GB2312" w:hAnsi="宋体" w:eastAsia="仿宋_GB2312"/>
          <w:sz w:val="28"/>
          <w:szCs w:val="28"/>
        </w:rPr>
        <w:t>3</w:t>
      </w:r>
      <w:r>
        <w:rPr>
          <w:rFonts w:hint="eastAsia" w:ascii="Calibri" w:hAnsi="Calibri" w:eastAsia="仿宋_GB2312"/>
          <w:sz w:val="28"/>
          <w:szCs w:val="28"/>
        </w:rPr>
        <w:t>、</w:t>
      </w:r>
      <w:r>
        <w:rPr>
          <w:rFonts w:hint="eastAsia" w:ascii="仿宋_GB2312" w:hAnsi="宋体" w:eastAsia="仿宋_GB2312"/>
          <w:sz w:val="28"/>
          <w:szCs w:val="28"/>
        </w:rPr>
        <w:t>开题报告：开题报告选题应属于本学科范围。开题报告内容包括学位论文选题的背景意义和依据，与学位论文选题相关的最新成果和发展动态；学位论文的研究内容及拟采取的实施方案，关键技术及难点，预期达到的目标；学位论文详细工作进度安排和主要参考文献等。</w:t>
      </w:r>
    </w:p>
    <w:p>
      <w:pPr>
        <w:adjustRightInd w:val="0"/>
        <w:snapToGrid w:val="0"/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ascii="仿宋_GB2312" w:hAnsi="宋体" w:eastAsia="仿宋_GB2312"/>
          <w:sz w:val="28"/>
          <w:szCs w:val="28"/>
        </w:rPr>
        <w:t>4</w:t>
      </w:r>
      <w:r>
        <w:rPr>
          <w:rFonts w:hint="eastAsia" w:ascii="Calibri" w:hAnsi="Calibri" w:eastAsia="仿宋_GB2312"/>
          <w:sz w:val="28"/>
          <w:szCs w:val="28"/>
        </w:rPr>
        <w:t>、</w:t>
      </w:r>
      <w:r>
        <w:rPr>
          <w:rFonts w:hint="eastAsia" w:ascii="仿宋_GB2312" w:hAnsi="宋体" w:eastAsia="仿宋_GB2312"/>
          <w:sz w:val="28"/>
          <w:szCs w:val="28"/>
        </w:rPr>
        <w:t>中期检查：中期检查内容包括检查课程学习的学分是否满足要求，论文研究的进展情况等。对于学位论文中期检查不满足要求的学生，应给予书面警告，并在后期或学位论文答辩中重点督查。</w:t>
      </w:r>
    </w:p>
    <w:p>
      <w:pPr>
        <w:adjustRightInd w:val="0"/>
        <w:snapToGrid w:val="0"/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ascii="仿宋_GB2312" w:hAnsi="宋体" w:eastAsia="仿宋_GB2312"/>
          <w:sz w:val="28"/>
          <w:szCs w:val="28"/>
        </w:rPr>
        <w:t>5</w:t>
      </w:r>
      <w:r>
        <w:rPr>
          <w:rFonts w:hint="eastAsia" w:ascii="Calibri" w:hAnsi="Calibri" w:eastAsia="仿宋_GB2312"/>
          <w:sz w:val="28"/>
          <w:szCs w:val="28"/>
        </w:rPr>
        <w:t>、</w:t>
      </w:r>
      <w:r>
        <w:rPr>
          <w:rFonts w:hint="eastAsia" w:ascii="仿宋_GB2312" w:hAnsi="宋体" w:eastAsia="仿宋_GB2312"/>
          <w:sz w:val="28"/>
          <w:szCs w:val="28"/>
        </w:rPr>
        <w:t>实践环节：要求全日制博士生按照学校的相关规定承担学院组织的助教工作。</w:t>
      </w:r>
    </w:p>
    <w:p>
      <w:pPr>
        <w:adjustRightInd w:val="0"/>
        <w:snapToGrid w:val="0"/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ascii="仿宋_GB2312" w:hAnsi="宋体" w:eastAsia="仿宋_GB2312"/>
          <w:sz w:val="28"/>
          <w:szCs w:val="28"/>
        </w:rPr>
        <w:t>6</w:t>
      </w:r>
      <w:r>
        <w:rPr>
          <w:rFonts w:hint="eastAsia" w:ascii="Calibri" w:hAnsi="Calibri" w:eastAsia="仿宋_GB2312"/>
          <w:sz w:val="28"/>
          <w:szCs w:val="28"/>
        </w:rPr>
        <w:t>、</w:t>
      </w:r>
      <w:r>
        <w:rPr>
          <w:rFonts w:hint="eastAsia" w:ascii="仿宋_GB2312" w:hAnsi="宋体" w:eastAsia="仿宋_GB2312"/>
          <w:sz w:val="28"/>
          <w:szCs w:val="28"/>
        </w:rPr>
        <w:t>论文预答辩：由指导小组组织预答辩，决定是否进入后续阶段。</w:t>
      </w:r>
    </w:p>
    <w:p>
      <w:pPr>
        <w:adjustRightInd w:val="0"/>
        <w:snapToGrid w:val="0"/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ascii="仿宋_GB2312" w:hAnsi="宋体" w:eastAsia="仿宋_GB2312"/>
          <w:sz w:val="28"/>
          <w:szCs w:val="28"/>
        </w:rPr>
        <w:t>7</w:t>
      </w:r>
      <w:r>
        <w:rPr>
          <w:rFonts w:hint="eastAsia" w:ascii="Calibri" w:hAnsi="Calibri" w:eastAsia="仿宋_GB2312"/>
          <w:sz w:val="28"/>
          <w:szCs w:val="28"/>
        </w:rPr>
        <w:t>、</w:t>
      </w:r>
      <w:r>
        <w:rPr>
          <w:rFonts w:hint="eastAsia" w:ascii="仿宋_GB2312" w:hAnsi="宋体" w:eastAsia="仿宋_GB2312"/>
          <w:sz w:val="28"/>
          <w:szCs w:val="28"/>
        </w:rPr>
        <w:t>论文评阅：按中山大学《学位与研究生教育工作手册》有关规定执行。</w:t>
      </w:r>
    </w:p>
    <w:p>
      <w:pPr>
        <w:adjustRightInd w:val="0"/>
        <w:snapToGrid w:val="0"/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ascii="仿宋_GB2312" w:hAnsi="宋体" w:eastAsia="仿宋_GB2312"/>
          <w:sz w:val="28"/>
          <w:szCs w:val="28"/>
        </w:rPr>
        <w:t>8</w:t>
      </w:r>
      <w:r>
        <w:rPr>
          <w:rFonts w:hint="eastAsia" w:ascii="Calibri" w:hAnsi="Calibri" w:eastAsia="仿宋_GB2312"/>
          <w:sz w:val="28"/>
          <w:szCs w:val="28"/>
        </w:rPr>
        <w:t>、</w:t>
      </w:r>
      <w:r>
        <w:rPr>
          <w:rFonts w:hint="eastAsia" w:ascii="仿宋_GB2312" w:hAnsi="宋体" w:eastAsia="仿宋_GB2312"/>
          <w:sz w:val="28"/>
          <w:szCs w:val="28"/>
        </w:rPr>
        <w:t>论文答辩：按中山大学《学位与研究生教育工作手册》有关规定执行。</w:t>
      </w:r>
    </w:p>
    <w:p>
      <w:pPr>
        <w:widowControl/>
        <w:jc w:val="left"/>
      </w:pPr>
    </w:p>
    <w:p>
      <w:pPr>
        <w:spacing w:line="500" w:lineRule="exact"/>
        <w:rPr>
          <w:rFonts w:ascii="仿宋_GB2312" w:hAnsi="宋体" w:eastAsia="仿宋_GB2312"/>
          <w:b/>
          <w:sz w:val="28"/>
          <w:szCs w:val="28"/>
          <w:highlight w:val="yellow"/>
        </w:rPr>
      </w:pPr>
      <w:r>
        <w:rPr>
          <w:rFonts w:hint="eastAsia" w:ascii="仿宋_GB2312" w:hAnsi="宋体" w:eastAsia="仿宋_GB2312"/>
          <w:b/>
          <w:sz w:val="28"/>
          <w:szCs w:val="28"/>
        </w:rPr>
        <w:t>八、学位论文</w:t>
      </w:r>
    </w:p>
    <w:p>
      <w:pPr>
        <w:numPr>
          <w:ilvl w:val="0"/>
          <w:numId w:val="2"/>
        </w:numPr>
        <w:adjustRightInd w:val="0"/>
        <w:snapToGrid w:val="0"/>
        <w:spacing w:line="500" w:lineRule="exact"/>
        <w:jc w:val="left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严格按照《中山大学博士硕士学位授予工作细则》有关规定执行。</w:t>
      </w:r>
    </w:p>
    <w:p>
      <w:pPr>
        <w:numPr>
          <w:ilvl w:val="0"/>
          <w:numId w:val="2"/>
        </w:numPr>
        <w:spacing w:line="500" w:lineRule="exact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学生在导师指导下确定论文选题，选题应属于计算机科学与技术学科领域，具有很好的研究价值。</w:t>
      </w:r>
    </w:p>
    <w:p>
      <w:pPr>
        <w:numPr>
          <w:ilvl w:val="0"/>
          <w:numId w:val="2"/>
        </w:numPr>
        <w:adjustRightInd w:val="0"/>
        <w:snapToGrid w:val="0"/>
        <w:spacing w:line="500" w:lineRule="exact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学位论文的内容应当基础研究或应用基础研究内容，具有相当高的学术水平，具有很好的创新性、先进性、可行性，其相应的研究成果发表的质量及数量必须满足学院相关规定的要求，体现作者综合运用科学理论、方法和技术手段进行学术研究的能力。</w:t>
      </w:r>
    </w:p>
    <w:p>
      <w:pPr>
        <w:adjustRightInd w:val="0"/>
        <w:snapToGrid w:val="0"/>
        <w:spacing w:line="500" w:lineRule="exact"/>
        <w:ind w:firstLine="560" w:firstLineChars="200"/>
        <w:jc w:val="left"/>
        <w:rPr>
          <w:rFonts w:ascii="仿宋_GB2312" w:hAnsi="华文仿宋" w:eastAsia="仿宋_GB2312"/>
          <w:sz w:val="28"/>
          <w:szCs w:val="28"/>
        </w:rPr>
      </w:pPr>
    </w:p>
    <w:p>
      <w:pPr>
        <w:spacing w:line="500" w:lineRule="exact"/>
        <w:rPr>
          <w:rFonts w:ascii="仿宋_GB2312" w:hAnsi="宋体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sz w:val="28"/>
          <w:szCs w:val="28"/>
        </w:rPr>
        <w:t>九、论文答辩与学位授予</w:t>
      </w:r>
    </w:p>
    <w:p>
      <w:pPr>
        <w:adjustRightInd w:val="0"/>
        <w:snapToGrid w:val="0"/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ascii="仿宋_GB2312" w:hAnsi="宋体" w:eastAsia="仿宋_GB2312"/>
          <w:sz w:val="28"/>
          <w:szCs w:val="28"/>
        </w:rPr>
        <w:t>1</w:t>
      </w:r>
      <w:r>
        <w:rPr>
          <w:rFonts w:hint="eastAsia" w:ascii="仿宋_GB2312" w:hAnsi="宋体" w:eastAsia="仿宋_GB2312"/>
          <w:sz w:val="28"/>
          <w:szCs w:val="28"/>
        </w:rPr>
        <w:t>、论文评审与答辩</w:t>
      </w:r>
      <w:r>
        <w:rPr>
          <w:rFonts w:ascii="仿宋_GB2312" w:hAnsi="宋体" w:eastAsia="仿宋_GB2312"/>
          <w:sz w:val="28"/>
          <w:szCs w:val="28"/>
        </w:rPr>
        <w:t xml:space="preserve"> </w:t>
      </w:r>
    </w:p>
    <w:p>
      <w:pPr>
        <w:adjustRightInd w:val="0"/>
        <w:snapToGrid w:val="0"/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研究生必须完成培养方案中规定的所有环节，成绩合格，修满规定学分，方可申请参加学位论文答辩。</w:t>
      </w:r>
    </w:p>
    <w:p>
      <w:pPr>
        <w:adjustRightInd w:val="0"/>
        <w:snapToGrid w:val="0"/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论文除经导师写出详细的评阅意见外，还应由</w:t>
      </w:r>
      <w:r>
        <w:rPr>
          <w:rFonts w:ascii="仿宋_GB2312" w:hAnsi="宋体" w:eastAsia="仿宋_GB2312"/>
          <w:sz w:val="28"/>
          <w:szCs w:val="28"/>
        </w:rPr>
        <w:t>3</w:t>
      </w:r>
      <w:r>
        <w:rPr>
          <w:rFonts w:hint="eastAsia" w:ascii="仿宋_GB2312" w:hAnsi="宋体" w:eastAsia="仿宋_GB2312"/>
          <w:sz w:val="28"/>
          <w:szCs w:val="28"/>
        </w:rPr>
        <w:t>～</w:t>
      </w:r>
      <w:r>
        <w:rPr>
          <w:rFonts w:ascii="仿宋_GB2312" w:hAnsi="宋体" w:eastAsia="仿宋_GB2312"/>
          <w:sz w:val="28"/>
          <w:szCs w:val="28"/>
        </w:rPr>
        <w:t>5</w:t>
      </w:r>
      <w:r>
        <w:rPr>
          <w:rFonts w:hint="eastAsia" w:ascii="仿宋_GB2312" w:hAnsi="宋体" w:eastAsia="仿宋_GB2312"/>
          <w:sz w:val="28"/>
          <w:szCs w:val="28"/>
        </w:rPr>
        <w:t>名本领域或相近领域的专家评阅</w:t>
      </w:r>
      <w:r>
        <w:rPr>
          <w:rFonts w:hint="eastAsia" w:eastAsia="仿宋_GB2312"/>
          <w:sz w:val="28"/>
          <w:szCs w:val="28"/>
        </w:rPr>
        <w:t>，通过评阅后方可参加答辩</w:t>
      </w:r>
      <w:r>
        <w:rPr>
          <w:rFonts w:hint="eastAsia" w:ascii="仿宋_GB2312" w:hAnsi="宋体" w:eastAsia="仿宋_GB2312"/>
          <w:sz w:val="28"/>
          <w:szCs w:val="28"/>
        </w:rPr>
        <w:t>。</w:t>
      </w:r>
    </w:p>
    <w:p>
      <w:pPr>
        <w:adjustRightInd w:val="0"/>
        <w:snapToGrid w:val="0"/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答辩委员会应由</w:t>
      </w:r>
      <w:r>
        <w:rPr>
          <w:rFonts w:ascii="仿宋_GB2312" w:hAnsi="宋体" w:eastAsia="仿宋_GB2312"/>
          <w:sz w:val="28"/>
          <w:szCs w:val="28"/>
        </w:rPr>
        <w:t>5</w:t>
      </w:r>
      <w:r>
        <w:rPr>
          <w:rFonts w:hint="eastAsia" w:ascii="仿宋_GB2312" w:hAnsi="宋体" w:eastAsia="仿宋_GB2312"/>
          <w:sz w:val="28"/>
          <w:szCs w:val="28"/>
        </w:rPr>
        <w:t>～</w:t>
      </w:r>
      <w:r>
        <w:rPr>
          <w:rFonts w:ascii="仿宋_GB2312" w:hAnsi="宋体" w:eastAsia="仿宋_GB2312"/>
          <w:sz w:val="28"/>
          <w:szCs w:val="28"/>
        </w:rPr>
        <w:t>7</w:t>
      </w:r>
      <w:r>
        <w:rPr>
          <w:rFonts w:hint="eastAsia" w:ascii="仿宋_GB2312" w:hAnsi="宋体" w:eastAsia="仿宋_GB2312"/>
          <w:sz w:val="28"/>
          <w:szCs w:val="28"/>
        </w:rPr>
        <w:t>位与本领域相关的专家组成。答辩会以无记名投票方式，经全体答辩成员三分之二以上同意，方可通过。未获通过的学位论文，经答辩委员会决议，可允许作者在规定的一年时间内修改论文，并只有重新答辩一次的机会。</w:t>
      </w:r>
      <w:r>
        <w:rPr>
          <w:rFonts w:ascii="仿宋_GB2312" w:hAnsi="宋体" w:eastAsia="仿宋_GB2312"/>
          <w:sz w:val="28"/>
          <w:szCs w:val="28"/>
        </w:rPr>
        <w:t xml:space="preserve"> </w:t>
      </w:r>
    </w:p>
    <w:p>
      <w:pPr>
        <w:adjustRightInd w:val="0"/>
        <w:snapToGrid w:val="0"/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ascii="仿宋_GB2312" w:hAnsi="宋体" w:eastAsia="仿宋_GB2312"/>
          <w:sz w:val="28"/>
          <w:szCs w:val="28"/>
        </w:rPr>
        <w:t>2</w:t>
      </w:r>
      <w:r>
        <w:rPr>
          <w:rFonts w:hint="eastAsia" w:ascii="仿宋_GB2312" w:hAnsi="宋体" w:eastAsia="仿宋_GB2312"/>
          <w:sz w:val="28"/>
          <w:szCs w:val="28"/>
        </w:rPr>
        <w:t>、毕业与学位授予</w:t>
      </w:r>
      <w:r>
        <w:rPr>
          <w:rFonts w:ascii="仿宋_GB2312" w:hAnsi="宋体" w:eastAsia="仿宋_GB2312"/>
          <w:sz w:val="28"/>
          <w:szCs w:val="28"/>
        </w:rPr>
        <w:t xml:space="preserve"> </w:t>
      </w:r>
    </w:p>
    <w:p>
      <w:pPr>
        <w:adjustRightInd w:val="0"/>
        <w:snapToGrid w:val="0"/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严格按照《中山大学博士硕士学位授予工作细则》要求执行。在符合学校有关规定基本要求的前提下，研究成果满足学校和学院的相关要求和规定，完成博士论文并通过论文答辩者，按一级学科，授予网络空间安全博士学位。</w:t>
      </w:r>
    </w:p>
    <w:p>
      <w:pPr>
        <w:adjustRightInd w:val="0"/>
        <w:snapToGrid w:val="0"/>
        <w:spacing w:line="500" w:lineRule="exact"/>
        <w:ind w:firstLine="560" w:firstLineChars="200"/>
        <w:jc w:val="left"/>
        <w:rPr>
          <w:rFonts w:ascii="仿宋_GB2312" w:hAnsi="华文仿宋" w:eastAsia="仿宋_GB2312"/>
          <w:sz w:val="28"/>
          <w:szCs w:val="28"/>
        </w:rPr>
      </w:pPr>
    </w:p>
    <w:p>
      <w:pPr>
        <w:adjustRightInd w:val="0"/>
        <w:snapToGrid w:val="0"/>
        <w:spacing w:line="500" w:lineRule="exact"/>
        <w:jc w:val="left"/>
        <w:rPr>
          <w:rFonts w:ascii="仿宋_GB2312" w:hAnsi="宋体" w:eastAsia="仿宋_GB2312"/>
          <w:b/>
          <w:sz w:val="28"/>
          <w:szCs w:val="28"/>
        </w:rPr>
      </w:pPr>
      <w:r>
        <w:rPr>
          <w:rFonts w:ascii="仿宋_GB2312" w:hAnsi="宋体" w:eastAsia="仿宋_GB2312"/>
          <w:sz w:val="28"/>
          <w:szCs w:val="28"/>
        </w:rPr>
        <w:t xml:space="preserve"> </w:t>
      </w:r>
      <w:r>
        <w:rPr>
          <w:rFonts w:hint="eastAsia" w:ascii="仿宋_GB2312" w:hAnsi="宋体" w:eastAsia="仿宋_GB2312"/>
          <w:b/>
          <w:sz w:val="28"/>
          <w:szCs w:val="28"/>
        </w:rPr>
        <w:t>十、必读和选读书目</w:t>
      </w:r>
    </w:p>
    <w:p>
      <w:pPr>
        <w:adjustRightInd w:val="0"/>
        <w:snapToGrid w:val="0"/>
        <w:spacing w:line="500" w:lineRule="exact"/>
        <w:jc w:val="left"/>
        <w:rPr>
          <w:rFonts w:ascii="仿宋_GB2312" w:hAnsi="宋体" w:eastAsia="仿宋_GB2312"/>
          <w:b/>
          <w:sz w:val="28"/>
          <w:szCs w:val="28"/>
        </w:rPr>
      </w:pPr>
    </w:p>
    <w:tbl>
      <w:tblPr>
        <w:tblStyle w:val="18"/>
        <w:tblW w:w="905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4571"/>
        <w:gridCol w:w="1296"/>
        <w:gridCol w:w="939"/>
        <w:gridCol w:w="937"/>
        <w:gridCol w:w="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674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仿宋_GB2312" w:hAnsi="仿宋" w:eastAsia="仿宋_GB2312"/>
                <w:bCs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bCs/>
                <w:sz w:val="18"/>
                <w:szCs w:val="18"/>
              </w:rPr>
              <w:t>序号</w:t>
            </w:r>
          </w:p>
        </w:tc>
        <w:tc>
          <w:tcPr>
            <w:tcW w:w="4571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仿宋_GB2312" w:hAnsi="仿宋" w:eastAsia="仿宋_GB2312"/>
                <w:bCs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bCs/>
                <w:sz w:val="18"/>
                <w:szCs w:val="18"/>
              </w:rPr>
              <w:t>著作或期刊名</w:t>
            </w:r>
          </w:p>
        </w:tc>
        <w:tc>
          <w:tcPr>
            <w:tcW w:w="1296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仿宋_GB2312" w:hAnsi="仿宋" w:eastAsia="仿宋_GB2312"/>
                <w:bCs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bCs/>
                <w:sz w:val="18"/>
                <w:szCs w:val="18"/>
              </w:rPr>
              <w:t>作者及出版社</w:t>
            </w:r>
          </w:p>
        </w:tc>
        <w:tc>
          <w:tcPr>
            <w:tcW w:w="939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仿宋_GB2312" w:hAnsi="仿宋" w:eastAsia="仿宋_GB2312"/>
                <w:bCs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bCs/>
                <w:sz w:val="18"/>
                <w:szCs w:val="18"/>
              </w:rPr>
              <w:t>必</w:t>
            </w:r>
            <w:r>
              <w:rPr>
                <w:rFonts w:ascii="仿宋_GB2312" w:hAnsi="仿宋" w:eastAsia="仿宋_GB2312"/>
                <w:bCs/>
                <w:sz w:val="18"/>
                <w:szCs w:val="18"/>
              </w:rPr>
              <w:t>(</w:t>
            </w:r>
            <w:r>
              <w:rPr>
                <w:rFonts w:hint="eastAsia" w:ascii="仿宋_GB2312" w:hAnsi="仿宋" w:eastAsia="仿宋_GB2312"/>
                <w:bCs/>
                <w:sz w:val="18"/>
                <w:szCs w:val="18"/>
              </w:rPr>
              <w:t>选</w:t>
            </w:r>
            <w:r>
              <w:rPr>
                <w:rFonts w:ascii="仿宋_GB2312" w:hAnsi="仿宋" w:eastAsia="仿宋_GB2312"/>
                <w:bCs/>
                <w:sz w:val="18"/>
                <w:szCs w:val="18"/>
              </w:rPr>
              <w:t>)</w:t>
            </w:r>
            <w:r>
              <w:rPr>
                <w:rFonts w:hint="eastAsia" w:ascii="仿宋_GB2312" w:hAnsi="仿宋" w:eastAsia="仿宋_GB2312"/>
                <w:bCs/>
                <w:sz w:val="18"/>
                <w:szCs w:val="18"/>
              </w:rPr>
              <w:t>读</w:t>
            </w:r>
          </w:p>
        </w:tc>
        <w:tc>
          <w:tcPr>
            <w:tcW w:w="937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仿宋_GB2312" w:hAnsi="仿宋" w:eastAsia="仿宋_GB2312"/>
                <w:bCs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bCs/>
                <w:sz w:val="18"/>
                <w:szCs w:val="18"/>
              </w:rPr>
              <w:t>考核方式</w:t>
            </w:r>
          </w:p>
        </w:tc>
        <w:tc>
          <w:tcPr>
            <w:tcW w:w="642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仿宋_GB2312" w:hAnsi="仿宋" w:eastAsia="仿宋_GB2312"/>
                <w:bCs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74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仿宋_GB2312" w:hAnsi="仿宋" w:eastAsia="仿宋_GB2312"/>
                <w:bCs/>
                <w:sz w:val="18"/>
                <w:szCs w:val="18"/>
              </w:rPr>
            </w:pPr>
            <w:r>
              <w:rPr>
                <w:rFonts w:ascii="仿宋_GB2312" w:hAnsi="仿宋" w:eastAsia="仿宋_GB2312"/>
                <w:bCs/>
                <w:sz w:val="18"/>
                <w:szCs w:val="18"/>
              </w:rPr>
              <w:t>1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napToGrid w:val="0"/>
              <w:jc w:val="left"/>
              <w:rPr>
                <w:rFonts w:ascii="仿宋_GB2312" w:hAnsi="仿宋" w:eastAsia="仿宋_GB2312"/>
                <w:bCs/>
                <w:sz w:val="18"/>
                <w:szCs w:val="18"/>
              </w:rPr>
            </w:pPr>
            <w:r>
              <w:rPr>
                <w:rFonts w:ascii="仿宋_GB2312" w:hAnsi="仿宋" w:eastAsia="仿宋_GB2312"/>
                <w:bCs/>
                <w:sz w:val="18"/>
                <w:szCs w:val="18"/>
              </w:rPr>
              <w:t>IEEE/ACM/IET</w:t>
            </w:r>
            <w:r>
              <w:rPr>
                <w:rFonts w:hint="eastAsia" w:ascii="仿宋_GB2312" w:hAnsi="仿宋" w:eastAsia="仿宋_GB2312"/>
                <w:bCs/>
                <w:sz w:val="18"/>
                <w:szCs w:val="18"/>
              </w:rPr>
              <w:t>等相关刊物</w:t>
            </w:r>
          </w:p>
        </w:tc>
        <w:tc>
          <w:tcPr>
            <w:tcW w:w="1296" w:type="dxa"/>
            <w:vAlign w:val="center"/>
          </w:tcPr>
          <w:p>
            <w:pPr>
              <w:widowControl/>
              <w:snapToGrid w:val="0"/>
              <w:jc w:val="left"/>
              <w:rPr>
                <w:rFonts w:ascii="仿宋_GB2312" w:hAnsi="仿宋" w:eastAsia="仿宋_GB2312"/>
                <w:bCs/>
                <w:sz w:val="18"/>
                <w:szCs w:val="18"/>
              </w:rPr>
            </w:pPr>
            <w:r>
              <w:rPr>
                <w:rFonts w:ascii="仿宋_GB2312" w:hAnsi="仿宋" w:eastAsia="仿宋_GB2312"/>
                <w:bCs/>
                <w:sz w:val="18"/>
                <w:szCs w:val="18"/>
              </w:rPr>
              <w:t>IEEE/ACM/IET</w:t>
            </w:r>
          </w:p>
        </w:tc>
        <w:tc>
          <w:tcPr>
            <w:tcW w:w="939" w:type="dxa"/>
            <w:vAlign w:val="center"/>
          </w:tcPr>
          <w:p>
            <w:pPr>
              <w:widowControl/>
              <w:snapToGrid w:val="0"/>
              <w:jc w:val="left"/>
              <w:rPr>
                <w:rFonts w:ascii="仿宋_GB2312" w:hAnsi="仿宋" w:eastAsia="仿宋_GB2312"/>
                <w:bCs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bCs/>
                <w:sz w:val="18"/>
                <w:szCs w:val="18"/>
              </w:rPr>
              <w:t>选读</w:t>
            </w:r>
          </w:p>
        </w:tc>
        <w:tc>
          <w:tcPr>
            <w:tcW w:w="937" w:type="dxa"/>
            <w:vAlign w:val="center"/>
          </w:tcPr>
          <w:p>
            <w:pPr>
              <w:widowControl/>
              <w:snapToGrid w:val="0"/>
              <w:jc w:val="left"/>
              <w:rPr>
                <w:rFonts w:ascii="仿宋_GB2312" w:hAnsi="仿宋" w:eastAsia="仿宋_GB2312"/>
                <w:bCs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bCs/>
                <w:sz w:val="18"/>
                <w:szCs w:val="18"/>
              </w:rPr>
              <w:t>导师考核</w:t>
            </w:r>
          </w:p>
        </w:tc>
        <w:tc>
          <w:tcPr>
            <w:tcW w:w="642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仿宋_GB2312" w:hAnsi="仿宋" w:eastAsia="仿宋_GB2312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7" w:hRule="atLeast"/>
        </w:trPr>
        <w:tc>
          <w:tcPr>
            <w:tcW w:w="674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仿宋_GB2312" w:hAnsi="仿宋" w:eastAsia="仿宋_GB2312"/>
                <w:bCs/>
                <w:sz w:val="18"/>
                <w:szCs w:val="18"/>
              </w:rPr>
            </w:pPr>
            <w:r>
              <w:rPr>
                <w:rFonts w:ascii="仿宋_GB2312" w:hAnsi="仿宋" w:eastAsia="仿宋_GB2312"/>
                <w:bCs/>
                <w:sz w:val="18"/>
                <w:szCs w:val="18"/>
              </w:rPr>
              <w:t>2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napToGrid w:val="0"/>
              <w:jc w:val="left"/>
              <w:rPr>
                <w:rFonts w:ascii="仿宋_GB2312" w:hAnsi="仿宋" w:eastAsia="仿宋_GB2312"/>
                <w:bCs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bCs/>
                <w:sz w:val="18"/>
                <w:szCs w:val="18"/>
              </w:rPr>
              <w:t>中国科学</w:t>
            </w:r>
            <w:r>
              <w:rPr>
                <w:rFonts w:ascii="仿宋_GB2312" w:hAnsi="仿宋" w:eastAsia="仿宋_GB2312"/>
                <w:bCs/>
                <w:sz w:val="18"/>
                <w:szCs w:val="18"/>
              </w:rPr>
              <w:t xml:space="preserve"> </w:t>
            </w:r>
          </w:p>
          <w:p>
            <w:pPr>
              <w:widowControl/>
              <w:snapToGrid w:val="0"/>
              <w:jc w:val="left"/>
              <w:rPr>
                <w:rFonts w:ascii="仿宋_GB2312" w:hAnsi="仿宋" w:eastAsia="仿宋_GB2312"/>
                <w:bCs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bCs/>
                <w:sz w:val="18"/>
                <w:szCs w:val="18"/>
              </w:rPr>
              <w:t>科学通报</w:t>
            </w:r>
            <w:r>
              <w:rPr>
                <w:rFonts w:ascii="仿宋_GB2312" w:hAnsi="仿宋" w:eastAsia="仿宋_GB2312"/>
                <w:bCs/>
                <w:sz w:val="18"/>
                <w:szCs w:val="18"/>
              </w:rPr>
              <w:t xml:space="preserve"> </w:t>
            </w:r>
          </w:p>
          <w:p>
            <w:pPr>
              <w:widowControl/>
              <w:snapToGrid w:val="0"/>
              <w:jc w:val="left"/>
              <w:rPr>
                <w:rFonts w:ascii="仿宋_GB2312" w:hAnsi="仿宋" w:eastAsia="仿宋_GB2312"/>
                <w:bCs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bCs/>
                <w:sz w:val="18"/>
                <w:szCs w:val="18"/>
              </w:rPr>
              <w:t>计算机学报</w:t>
            </w:r>
            <w:r>
              <w:rPr>
                <w:rFonts w:ascii="仿宋_GB2312" w:hAnsi="仿宋" w:eastAsia="仿宋_GB2312"/>
                <w:bCs/>
                <w:sz w:val="18"/>
                <w:szCs w:val="18"/>
              </w:rPr>
              <w:t xml:space="preserve"> </w:t>
            </w:r>
          </w:p>
          <w:p>
            <w:pPr>
              <w:widowControl/>
              <w:snapToGrid w:val="0"/>
              <w:jc w:val="left"/>
              <w:rPr>
                <w:rFonts w:ascii="仿宋_GB2312" w:hAnsi="仿宋" w:eastAsia="仿宋_GB2312"/>
                <w:bCs/>
                <w:sz w:val="18"/>
                <w:szCs w:val="18"/>
              </w:rPr>
            </w:pPr>
            <w:r>
              <w:rPr>
                <w:rFonts w:ascii="仿宋_GB2312" w:hAnsi="仿宋" w:eastAsia="仿宋_GB2312"/>
                <w:bCs/>
                <w:sz w:val="18"/>
                <w:szCs w:val="18"/>
              </w:rPr>
              <w:t xml:space="preserve">Journal of Computer Science and Technology </w:t>
            </w:r>
          </w:p>
          <w:p>
            <w:pPr>
              <w:widowControl/>
              <w:snapToGrid w:val="0"/>
              <w:jc w:val="left"/>
              <w:rPr>
                <w:rFonts w:ascii="仿宋_GB2312" w:hAnsi="仿宋" w:eastAsia="仿宋_GB2312"/>
                <w:bCs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bCs/>
                <w:sz w:val="18"/>
                <w:szCs w:val="18"/>
              </w:rPr>
              <w:t>软件学报</w:t>
            </w:r>
            <w:r>
              <w:rPr>
                <w:rFonts w:ascii="仿宋_GB2312" w:hAnsi="仿宋" w:eastAsia="仿宋_GB2312"/>
                <w:bCs/>
                <w:sz w:val="18"/>
                <w:szCs w:val="18"/>
              </w:rPr>
              <w:t xml:space="preserve"> </w:t>
            </w:r>
          </w:p>
          <w:p>
            <w:pPr>
              <w:widowControl/>
              <w:snapToGrid w:val="0"/>
              <w:jc w:val="left"/>
              <w:rPr>
                <w:rFonts w:ascii="仿宋_GB2312" w:hAnsi="仿宋" w:eastAsia="仿宋_GB2312"/>
                <w:bCs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bCs/>
                <w:sz w:val="18"/>
                <w:szCs w:val="18"/>
              </w:rPr>
              <w:t>计算机研究与发展</w:t>
            </w:r>
            <w:r>
              <w:rPr>
                <w:rFonts w:ascii="仿宋_GB2312" w:hAnsi="仿宋" w:eastAsia="仿宋_GB2312"/>
                <w:bCs/>
                <w:sz w:val="18"/>
                <w:szCs w:val="18"/>
              </w:rPr>
              <w:t xml:space="preserve"> </w:t>
            </w:r>
          </w:p>
          <w:p>
            <w:pPr>
              <w:widowControl/>
              <w:snapToGrid w:val="0"/>
              <w:jc w:val="left"/>
              <w:rPr>
                <w:rFonts w:ascii="仿宋_GB2312" w:hAnsi="仿宋" w:eastAsia="仿宋_GB2312"/>
                <w:bCs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bCs/>
                <w:sz w:val="18"/>
                <w:szCs w:val="18"/>
              </w:rPr>
              <w:t>等计算机类学报</w:t>
            </w:r>
          </w:p>
        </w:tc>
        <w:tc>
          <w:tcPr>
            <w:tcW w:w="1296" w:type="dxa"/>
            <w:vAlign w:val="center"/>
          </w:tcPr>
          <w:p>
            <w:pPr>
              <w:widowControl/>
              <w:snapToGrid w:val="0"/>
              <w:jc w:val="left"/>
              <w:rPr>
                <w:rFonts w:ascii="仿宋_GB2312" w:hAnsi="仿宋" w:eastAsia="仿宋_GB2312"/>
                <w:bCs/>
                <w:sz w:val="18"/>
                <w:szCs w:val="18"/>
              </w:rPr>
            </w:pPr>
            <w:r>
              <w:rPr>
                <w:rFonts w:ascii="仿宋_GB2312" w:hAnsi="仿宋" w:eastAsia="仿宋_GB2312"/>
                <w:bCs/>
                <w:sz w:val="18"/>
                <w:szCs w:val="18"/>
              </w:rPr>
              <w:t xml:space="preserve">CNKI </w:t>
            </w:r>
            <w:r>
              <w:rPr>
                <w:rFonts w:hint="eastAsia" w:ascii="仿宋_GB2312" w:hAnsi="仿宋" w:eastAsia="仿宋_GB2312"/>
                <w:bCs/>
                <w:sz w:val="18"/>
                <w:szCs w:val="18"/>
              </w:rPr>
              <w:t>数据库</w:t>
            </w:r>
          </w:p>
        </w:tc>
        <w:tc>
          <w:tcPr>
            <w:tcW w:w="939" w:type="dxa"/>
            <w:vAlign w:val="center"/>
          </w:tcPr>
          <w:p>
            <w:pPr>
              <w:widowControl/>
              <w:snapToGrid w:val="0"/>
              <w:jc w:val="left"/>
              <w:rPr>
                <w:rFonts w:ascii="仿宋_GB2312" w:hAnsi="仿宋" w:eastAsia="仿宋_GB2312"/>
                <w:bCs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bCs/>
                <w:sz w:val="18"/>
                <w:szCs w:val="18"/>
              </w:rPr>
              <w:t>选读</w:t>
            </w:r>
          </w:p>
        </w:tc>
        <w:tc>
          <w:tcPr>
            <w:tcW w:w="937" w:type="dxa"/>
            <w:vAlign w:val="center"/>
          </w:tcPr>
          <w:p>
            <w:pPr>
              <w:widowControl/>
              <w:snapToGrid w:val="0"/>
              <w:jc w:val="left"/>
              <w:rPr>
                <w:rFonts w:ascii="仿宋_GB2312" w:hAnsi="仿宋" w:eastAsia="仿宋_GB2312"/>
                <w:bCs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bCs/>
                <w:sz w:val="18"/>
                <w:szCs w:val="18"/>
              </w:rPr>
              <w:t>导师考核</w:t>
            </w:r>
          </w:p>
        </w:tc>
        <w:tc>
          <w:tcPr>
            <w:tcW w:w="642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仿宋_GB2312" w:hAnsi="仿宋" w:eastAsia="仿宋_GB2312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</w:trPr>
        <w:tc>
          <w:tcPr>
            <w:tcW w:w="674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仿宋_GB2312" w:hAnsi="仿宋" w:eastAsia="仿宋_GB2312"/>
                <w:bCs/>
                <w:sz w:val="18"/>
                <w:szCs w:val="18"/>
              </w:rPr>
            </w:pPr>
            <w:r>
              <w:rPr>
                <w:rFonts w:ascii="仿宋_GB2312" w:hAnsi="仿宋" w:eastAsia="仿宋_GB2312"/>
                <w:bCs/>
                <w:sz w:val="18"/>
                <w:szCs w:val="18"/>
              </w:rPr>
              <w:t>3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napToGrid w:val="0"/>
              <w:jc w:val="left"/>
              <w:rPr>
                <w:rFonts w:ascii="仿宋_GB2312" w:hAnsi="仿宋" w:eastAsia="仿宋_GB2312"/>
                <w:bCs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bCs/>
                <w:sz w:val="18"/>
                <w:szCs w:val="18"/>
              </w:rPr>
              <w:t>电子学报</w:t>
            </w:r>
            <w:r>
              <w:rPr>
                <w:rFonts w:ascii="仿宋_GB2312" w:hAnsi="仿宋" w:eastAsia="仿宋_GB2312"/>
                <w:bCs/>
                <w:sz w:val="18"/>
                <w:szCs w:val="18"/>
              </w:rPr>
              <w:t xml:space="preserve"> </w:t>
            </w:r>
          </w:p>
          <w:p>
            <w:pPr>
              <w:widowControl/>
              <w:snapToGrid w:val="0"/>
              <w:jc w:val="left"/>
              <w:rPr>
                <w:rFonts w:ascii="仿宋_GB2312" w:hAnsi="仿宋" w:eastAsia="仿宋_GB2312"/>
                <w:bCs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bCs/>
                <w:sz w:val="18"/>
                <w:szCs w:val="18"/>
              </w:rPr>
              <w:t>通信学报</w:t>
            </w:r>
            <w:r>
              <w:rPr>
                <w:rFonts w:ascii="仿宋_GB2312" w:hAnsi="仿宋" w:eastAsia="仿宋_GB2312"/>
                <w:bCs/>
                <w:sz w:val="18"/>
                <w:szCs w:val="18"/>
              </w:rPr>
              <w:t xml:space="preserve"> </w:t>
            </w:r>
          </w:p>
          <w:p>
            <w:pPr>
              <w:widowControl/>
              <w:snapToGrid w:val="0"/>
              <w:jc w:val="left"/>
              <w:rPr>
                <w:rFonts w:ascii="仿宋_GB2312" w:hAnsi="仿宋" w:eastAsia="仿宋_GB2312"/>
                <w:bCs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bCs/>
                <w:sz w:val="18"/>
                <w:szCs w:val="18"/>
              </w:rPr>
              <w:t>自动化学报</w:t>
            </w:r>
            <w:r>
              <w:rPr>
                <w:rFonts w:ascii="仿宋_GB2312" w:hAnsi="仿宋" w:eastAsia="仿宋_GB2312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96" w:type="dxa"/>
            <w:vAlign w:val="center"/>
          </w:tcPr>
          <w:p>
            <w:pPr>
              <w:widowControl/>
              <w:snapToGrid w:val="0"/>
              <w:jc w:val="left"/>
              <w:rPr>
                <w:rFonts w:ascii="仿宋_GB2312" w:hAnsi="仿宋" w:eastAsia="仿宋_GB2312"/>
                <w:bCs/>
                <w:sz w:val="18"/>
                <w:szCs w:val="18"/>
              </w:rPr>
            </w:pPr>
            <w:r>
              <w:rPr>
                <w:rFonts w:ascii="仿宋_GB2312" w:hAnsi="仿宋" w:eastAsia="仿宋_GB2312"/>
                <w:bCs/>
                <w:sz w:val="18"/>
                <w:szCs w:val="18"/>
              </w:rPr>
              <w:t xml:space="preserve">CNKI </w:t>
            </w:r>
            <w:r>
              <w:rPr>
                <w:rFonts w:hint="eastAsia" w:ascii="仿宋_GB2312" w:hAnsi="仿宋" w:eastAsia="仿宋_GB2312"/>
                <w:bCs/>
                <w:sz w:val="18"/>
                <w:szCs w:val="18"/>
              </w:rPr>
              <w:t>数据库</w:t>
            </w:r>
          </w:p>
        </w:tc>
        <w:tc>
          <w:tcPr>
            <w:tcW w:w="939" w:type="dxa"/>
            <w:vAlign w:val="center"/>
          </w:tcPr>
          <w:p>
            <w:pPr>
              <w:widowControl/>
              <w:snapToGrid w:val="0"/>
              <w:jc w:val="left"/>
              <w:rPr>
                <w:rFonts w:ascii="仿宋_GB2312" w:hAnsi="仿宋" w:eastAsia="仿宋_GB2312"/>
                <w:bCs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bCs/>
                <w:sz w:val="18"/>
                <w:szCs w:val="18"/>
              </w:rPr>
              <w:t>选读</w:t>
            </w:r>
          </w:p>
        </w:tc>
        <w:tc>
          <w:tcPr>
            <w:tcW w:w="937" w:type="dxa"/>
            <w:vAlign w:val="center"/>
          </w:tcPr>
          <w:p>
            <w:pPr>
              <w:widowControl/>
              <w:snapToGrid w:val="0"/>
              <w:jc w:val="left"/>
              <w:rPr>
                <w:rFonts w:ascii="仿宋_GB2312" w:hAnsi="仿宋" w:eastAsia="仿宋_GB2312"/>
                <w:bCs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bCs/>
                <w:sz w:val="18"/>
                <w:szCs w:val="18"/>
              </w:rPr>
              <w:t>导师考核</w:t>
            </w:r>
          </w:p>
        </w:tc>
        <w:tc>
          <w:tcPr>
            <w:tcW w:w="642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仿宋_GB2312" w:hAnsi="仿宋" w:eastAsia="仿宋_GB2312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</w:trPr>
        <w:tc>
          <w:tcPr>
            <w:tcW w:w="674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仿宋_GB2312" w:hAnsi="仿宋" w:eastAsia="仿宋_GB2312"/>
                <w:bCs/>
                <w:sz w:val="18"/>
                <w:szCs w:val="18"/>
              </w:rPr>
            </w:pPr>
            <w:r>
              <w:rPr>
                <w:rFonts w:ascii="仿宋_GB2312" w:hAnsi="仿宋" w:eastAsia="仿宋_GB2312"/>
                <w:bCs/>
                <w:sz w:val="18"/>
                <w:szCs w:val="18"/>
              </w:rPr>
              <w:t>4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napToGrid w:val="0"/>
              <w:jc w:val="left"/>
              <w:rPr>
                <w:rFonts w:ascii="仿宋_GB2312" w:hAnsi="仿宋" w:eastAsia="仿宋_GB2312"/>
                <w:bCs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bCs/>
                <w:sz w:val="18"/>
                <w:szCs w:val="18"/>
              </w:rPr>
              <w:t>导师指定的参考书目</w:t>
            </w:r>
          </w:p>
        </w:tc>
        <w:tc>
          <w:tcPr>
            <w:tcW w:w="1296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仿宋_GB2312" w:hAnsi="仿宋" w:eastAsia="仿宋_GB2312"/>
                <w:bCs/>
                <w:sz w:val="18"/>
                <w:szCs w:val="18"/>
              </w:rPr>
            </w:pPr>
            <w:r>
              <w:rPr>
                <w:rFonts w:ascii="仿宋_GB2312" w:hAnsi="仿宋" w:eastAsia="仿宋_GB2312"/>
                <w:bCs/>
                <w:sz w:val="18"/>
                <w:szCs w:val="18"/>
              </w:rPr>
              <w:t xml:space="preserve">CNKI </w:t>
            </w:r>
            <w:r>
              <w:rPr>
                <w:rFonts w:hint="eastAsia" w:ascii="仿宋_GB2312" w:hAnsi="仿宋" w:eastAsia="仿宋_GB2312"/>
                <w:bCs/>
                <w:sz w:val="18"/>
                <w:szCs w:val="18"/>
              </w:rPr>
              <w:t>数据库</w:t>
            </w:r>
          </w:p>
        </w:tc>
        <w:tc>
          <w:tcPr>
            <w:tcW w:w="939" w:type="dxa"/>
            <w:vAlign w:val="center"/>
          </w:tcPr>
          <w:p>
            <w:pPr>
              <w:widowControl/>
              <w:snapToGrid w:val="0"/>
              <w:jc w:val="left"/>
              <w:rPr>
                <w:rFonts w:ascii="仿宋_GB2312" w:hAnsi="仿宋" w:eastAsia="仿宋_GB2312"/>
                <w:bCs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bCs/>
                <w:sz w:val="18"/>
                <w:szCs w:val="18"/>
              </w:rPr>
              <w:t>选读</w:t>
            </w:r>
          </w:p>
        </w:tc>
        <w:tc>
          <w:tcPr>
            <w:tcW w:w="937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仿宋_GB2312" w:hAnsi="仿宋" w:eastAsia="仿宋_GB2312"/>
                <w:bCs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bCs/>
                <w:sz w:val="18"/>
                <w:szCs w:val="18"/>
              </w:rPr>
              <w:t>导师考核</w:t>
            </w:r>
          </w:p>
        </w:tc>
        <w:tc>
          <w:tcPr>
            <w:tcW w:w="642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仿宋_GB2312" w:hAnsi="仿宋" w:eastAsia="仿宋_GB2312"/>
                <w:bCs/>
                <w:sz w:val="18"/>
                <w:szCs w:val="18"/>
              </w:rPr>
            </w:pPr>
          </w:p>
        </w:tc>
      </w:tr>
    </w:tbl>
    <w:p>
      <w:pPr>
        <w:adjustRightInd w:val="0"/>
        <w:snapToGrid w:val="0"/>
        <w:spacing w:line="500" w:lineRule="exact"/>
        <w:jc w:val="left"/>
        <w:rPr>
          <w:rFonts w:ascii="仿宋_GB2312" w:hAnsi="宋体" w:eastAsia="仿宋_GB2312"/>
          <w:b/>
          <w:sz w:val="28"/>
          <w:szCs w:val="28"/>
        </w:rPr>
      </w:pPr>
    </w:p>
    <w:p>
      <w:pPr>
        <w:snapToGrid w:val="0"/>
        <w:spacing w:line="360" w:lineRule="auto"/>
        <w:ind w:firstLine="5110" w:firstLineChars="1825"/>
        <w:rPr>
          <w:rFonts w:eastAsia="楷体"/>
          <w:color w:val="000000"/>
          <w:sz w:val="28"/>
          <w:szCs w:val="28"/>
        </w:rPr>
      </w:pPr>
      <w:r>
        <w:rPr>
          <w:rFonts w:hint="eastAsia" w:eastAsia="黑体"/>
          <w:bCs/>
          <w:color w:val="000000"/>
          <w:sz w:val="28"/>
          <w:szCs w:val="28"/>
        </w:rPr>
        <w:t>负责人</w:t>
      </w:r>
      <w:r>
        <w:rPr>
          <w:rFonts w:eastAsia="黑体"/>
          <w:bCs/>
          <w:color w:val="000000"/>
          <w:sz w:val="28"/>
          <w:szCs w:val="28"/>
        </w:rPr>
        <w:t>:</w:t>
      </w:r>
    </w:p>
    <w:p>
      <w:pPr>
        <w:spacing w:line="360" w:lineRule="auto"/>
        <w:jc w:val="right"/>
        <w:rPr>
          <w:rFonts w:ascii="仿宋_GB2312" w:eastAsia="PMingLiU"/>
          <w:color w:val="000000"/>
          <w:sz w:val="28"/>
          <w:szCs w:val="28"/>
          <w:lang w:eastAsia="zh-TW"/>
        </w:rPr>
      </w:pPr>
      <w:r>
        <w:rPr>
          <w:rFonts w:hint="eastAsia" w:ascii="仿宋_GB2312" w:eastAsia="仿宋_GB2312"/>
          <w:color w:val="000000"/>
          <w:sz w:val="28"/>
          <w:szCs w:val="28"/>
        </w:rPr>
        <w:t>修订</w:t>
      </w:r>
      <w:r>
        <w:rPr>
          <w:rFonts w:hint="eastAsia" w:ascii="仿宋_GB2312" w:eastAsia="仿宋_GB2312"/>
          <w:color w:val="000000"/>
          <w:sz w:val="28"/>
          <w:szCs w:val="28"/>
          <w:lang w:eastAsia="zh-TW"/>
        </w:rPr>
        <w:t>日期：</w:t>
      </w:r>
      <w:r>
        <w:rPr>
          <w:rFonts w:hint="eastAsia" w:ascii="仿宋_GB2312" w:eastAsia="仿宋_GB2312"/>
          <w:color w:val="000000"/>
          <w:sz w:val="28"/>
          <w:szCs w:val="28"/>
        </w:rPr>
        <w:t>　　</w:t>
      </w:r>
      <w:r>
        <w:rPr>
          <w:rFonts w:hint="eastAsia" w:ascii="仿宋_GB2312" w:eastAsia="仿宋_GB2312"/>
          <w:color w:val="000000"/>
          <w:sz w:val="28"/>
          <w:szCs w:val="28"/>
          <w:lang w:eastAsia="zh-TW"/>
        </w:rPr>
        <w:t>年</w:t>
      </w:r>
      <w:r>
        <w:rPr>
          <w:rFonts w:ascii="仿宋_GB2312" w:eastAsia="仿宋_GB2312"/>
          <w:color w:val="000000"/>
          <w:sz w:val="28"/>
          <w:szCs w:val="28"/>
        </w:rPr>
        <w:t xml:space="preserve">    </w:t>
      </w:r>
      <w:r>
        <w:rPr>
          <w:rFonts w:hint="eastAsia" w:ascii="仿宋_GB2312" w:eastAsia="仿宋_GB2312"/>
          <w:color w:val="000000"/>
          <w:sz w:val="28"/>
          <w:szCs w:val="28"/>
          <w:lang w:eastAsia="zh-TW"/>
        </w:rPr>
        <w:t>月</w:t>
      </w:r>
      <w:r>
        <w:rPr>
          <w:rFonts w:ascii="仿宋_GB2312" w:eastAsia="仿宋_GB2312"/>
          <w:color w:val="000000"/>
          <w:sz w:val="28"/>
          <w:szCs w:val="28"/>
        </w:rPr>
        <w:t xml:space="preserve">    </w:t>
      </w:r>
      <w:r>
        <w:rPr>
          <w:rFonts w:hint="eastAsia" w:ascii="仿宋_GB2312" w:eastAsia="仿宋_GB2312"/>
          <w:color w:val="000000"/>
          <w:sz w:val="28"/>
          <w:szCs w:val="28"/>
          <w:lang w:eastAsia="zh-TW"/>
        </w:rPr>
        <w:t>日</w:t>
      </w:r>
    </w:p>
    <w:sectPr>
      <w:footerReference r:id="rId3" w:type="default"/>
      <w:footerReference r:id="rId4" w:type="even"/>
      <w:pgSz w:w="11906" w:h="16838"/>
      <w:pgMar w:top="1418" w:right="1418" w:bottom="1418" w:left="1418" w:header="851" w:footer="1531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ind w:firstLine="8120" w:firstLineChars="2900"/>
      <w:jc w:val="right"/>
      <w:rPr>
        <w:rStyle w:val="21"/>
        <w:sz w:val="28"/>
      </w:rPr>
    </w:pPr>
    <w:r>
      <w:rPr>
        <w:rStyle w:val="21"/>
        <w:sz w:val="28"/>
      </w:rPr>
      <w:t>—</w:t>
    </w:r>
    <w:r>
      <w:rPr>
        <w:rStyle w:val="21"/>
        <w:sz w:val="28"/>
      </w:rPr>
      <w:fldChar w:fldCharType="begin"/>
    </w:r>
    <w:r>
      <w:rPr>
        <w:rStyle w:val="21"/>
        <w:sz w:val="28"/>
      </w:rPr>
      <w:instrText xml:space="preserve">PAGE  </w:instrText>
    </w:r>
    <w:r>
      <w:rPr>
        <w:rStyle w:val="21"/>
        <w:sz w:val="28"/>
      </w:rPr>
      <w:fldChar w:fldCharType="separate"/>
    </w:r>
    <w:r>
      <w:rPr>
        <w:rStyle w:val="21"/>
        <w:sz w:val="28"/>
      </w:rPr>
      <w:t>2</w:t>
    </w:r>
    <w:r>
      <w:rPr>
        <w:rStyle w:val="21"/>
        <w:sz w:val="28"/>
      </w:rPr>
      <w:fldChar w:fldCharType="end"/>
    </w:r>
    <w:r>
      <w:rPr>
        <w:rStyle w:val="21"/>
        <w:sz w:val="28"/>
      </w:rPr>
      <w:t>—</w:t>
    </w:r>
  </w:p>
  <w:p>
    <w:pPr>
      <w:pStyle w:val="12"/>
      <w:framePr w:wrap="around" w:vAnchor="text" w:hAnchor="margin" w:xAlign="right" w:y="1"/>
      <w:ind w:right="360" w:firstLine="360"/>
      <w:rPr>
        <w:rStyle w:val="21"/>
      </w:rPr>
    </w:pPr>
  </w:p>
  <w:p>
    <w:pPr>
      <w:pStyle w:val="1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21"/>
      </w:rPr>
    </w:pPr>
    <w:r>
      <w:rPr>
        <w:rStyle w:val="21"/>
      </w:rPr>
      <w:fldChar w:fldCharType="begin"/>
    </w:r>
    <w:r>
      <w:rPr>
        <w:rStyle w:val="21"/>
      </w:rPr>
      <w:instrText xml:space="preserve">PAGE  </w:instrText>
    </w:r>
    <w:r>
      <w:rPr>
        <w:rStyle w:val="21"/>
      </w:rPr>
      <w:fldChar w:fldCharType="separate"/>
    </w:r>
    <w:r>
      <w:rPr>
        <w:rStyle w:val="21"/>
      </w:rPr>
      <w:t>1</w:t>
    </w:r>
    <w:r>
      <w:rPr>
        <w:rStyle w:val="21"/>
      </w:rPr>
      <w:fldChar w:fldCharType="end"/>
    </w:r>
  </w:p>
  <w:p>
    <w:pPr>
      <w:pStyle w:val="12"/>
      <w:ind w:right="360" w:firstLine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215E31"/>
    <w:multiLevelType w:val="singleLevel"/>
    <w:tmpl w:val="0E215E3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cs="Times New Roman"/>
      </w:rPr>
    </w:lvl>
  </w:abstractNum>
  <w:abstractNum w:abstractNumId="1">
    <w:nsid w:val="64D91C32"/>
    <w:multiLevelType w:val="multilevel"/>
    <w:tmpl w:val="64D91C32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B3C32"/>
    <w:rsid w:val="00001D62"/>
    <w:rsid w:val="000053D8"/>
    <w:rsid w:val="00006388"/>
    <w:rsid w:val="00034688"/>
    <w:rsid w:val="000457AC"/>
    <w:rsid w:val="000476E7"/>
    <w:rsid w:val="00050E88"/>
    <w:rsid w:val="00053203"/>
    <w:rsid w:val="000E1152"/>
    <w:rsid w:val="00105386"/>
    <w:rsid w:val="001078F2"/>
    <w:rsid w:val="00111B6E"/>
    <w:rsid w:val="001123E8"/>
    <w:rsid w:val="00123DC2"/>
    <w:rsid w:val="001262B2"/>
    <w:rsid w:val="00131CEB"/>
    <w:rsid w:val="00160435"/>
    <w:rsid w:val="001604EC"/>
    <w:rsid w:val="0017133F"/>
    <w:rsid w:val="00171ABF"/>
    <w:rsid w:val="00196CE7"/>
    <w:rsid w:val="001B269D"/>
    <w:rsid w:val="001C5B7A"/>
    <w:rsid w:val="001D04BC"/>
    <w:rsid w:val="001D4FF5"/>
    <w:rsid w:val="001D5DD0"/>
    <w:rsid w:val="001E2CD7"/>
    <w:rsid w:val="001F42D7"/>
    <w:rsid w:val="00206F79"/>
    <w:rsid w:val="0021073D"/>
    <w:rsid w:val="00225B1A"/>
    <w:rsid w:val="002454AD"/>
    <w:rsid w:val="002459C4"/>
    <w:rsid w:val="0025329C"/>
    <w:rsid w:val="00256204"/>
    <w:rsid w:val="00261E5C"/>
    <w:rsid w:val="002648EF"/>
    <w:rsid w:val="0028304A"/>
    <w:rsid w:val="00286D9A"/>
    <w:rsid w:val="002A1B51"/>
    <w:rsid w:val="002A4B1D"/>
    <w:rsid w:val="002D0446"/>
    <w:rsid w:val="002D0803"/>
    <w:rsid w:val="002D4AD2"/>
    <w:rsid w:val="002D6540"/>
    <w:rsid w:val="002F002D"/>
    <w:rsid w:val="002F4DB4"/>
    <w:rsid w:val="002F4DCC"/>
    <w:rsid w:val="00301024"/>
    <w:rsid w:val="00303A96"/>
    <w:rsid w:val="003102D9"/>
    <w:rsid w:val="003121E5"/>
    <w:rsid w:val="00317669"/>
    <w:rsid w:val="0032144A"/>
    <w:rsid w:val="00332329"/>
    <w:rsid w:val="003348B6"/>
    <w:rsid w:val="003411E0"/>
    <w:rsid w:val="0035357E"/>
    <w:rsid w:val="003706B9"/>
    <w:rsid w:val="003773FA"/>
    <w:rsid w:val="003775EE"/>
    <w:rsid w:val="003951CD"/>
    <w:rsid w:val="003A320A"/>
    <w:rsid w:val="003A3E55"/>
    <w:rsid w:val="003A76CD"/>
    <w:rsid w:val="003C08B0"/>
    <w:rsid w:val="003C5713"/>
    <w:rsid w:val="003D3818"/>
    <w:rsid w:val="003E1778"/>
    <w:rsid w:val="003F2DE1"/>
    <w:rsid w:val="003F60D7"/>
    <w:rsid w:val="003F6D77"/>
    <w:rsid w:val="00402928"/>
    <w:rsid w:val="00402FD4"/>
    <w:rsid w:val="004051F7"/>
    <w:rsid w:val="0040635D"/>
    <w:rsid w:val="00406FBD"/>
    <w:rsid w:val="00407BEE"/>
    <w:rsid w:val="004170EF"/>
    <w:rsid w:val="004244F0"/>
    <w:rsid w:val="00430F3E"/>
    <w:rsid w:val="00434127"/>
    <w:rsid w:val="0047734F"/>
    <w:rsid w:val="00491ECF"/>
    <w:rsid w:val="00492402"/>
    <w:rsid w:val="00495E43"/>
    <w:rsid w:val="004B41A0"/>
    <w:rsid w:val="004B5394"/>
    <w:rsid w:val="004B78A9"/>
    <w:rsid w:val="004C08F1"/>
    <w:rsid w:val="004D0A19"/>
    <w:rsid w:val="004D2EF2"/>
    <w:rsid w:val="004D4628"/>
    <w:rsid w:val="004F6DA8"/>
    <w:rsid w:val="00520F3D"/>
    <w:rsid w:val="00521814"/>
    <w:rsid w:val="00523CE7"/>
    <w:rsid w:val="005354FE"/>
    <w:rsid w:val="00550F64"/>
    <w:rsid w:val="00553052"/>
    <w:rsid w:val="0055325B"/>
    <w:rsid w:val="0057073C"/>
    <w:rsid w:val="00571C7C"/>
    <w:rsid w:val="005720C9"/>
    <w:rsid w:val="00574335"/>
    <w:rsid w:val="0058566D"/>
    <w:rsid w:val="005863DE"/>
    <w:rsid w:val="0059169C"/>
    <w:rsid w:val="005947D4"/>
    <w:rsid w:val="00595615"/>
    <w:rsid w:val="005A7674"/>
    <w:rsid w:val="005C17F3"/>
    <w:rsid w:val="005C2405"/>
    <w:rsid w:val="005C445E"/>
    <w:rsid w:val="005D6676"/>
    <w:rsid w:val="005D677B"/>
    <w:rsid w:val="006047F6"/>
    <w:rsid w:val="00641157"/>
    <w:rsid w:val="006428C0"/>
    <w:rsid w:val="00650313"/>
    <w:rsid w:val="006608FE"/>
    <w:rsid w:val="00666A0E"/>
    <w:rsid w:val="00675234"/>
    <w:rsid w:val="00680A29"/>
    <w:rsid w:val="00683357"/>
    <w:rsid w:val="00684AEB"/>
    <w:rsid w:val="006B1043"/>
    <w:rsid w:val="006B3C32"/>
    <w:rsid w:val="006E3354"/>
    <w:rsid w:val="0070204B"/>
    <w:rsid w:val="0071558A"/>
    <w:rsid w:val="00716BD7"/>
    <w:rsid w:val="0073338A"/>
    <w:rsid w:val="007355DD"/>
    <w:rsid w:val="007364A2"/>
    <w:rsid w:val="00752EBE"/>
    <w:rsid w:val="00753CB7"/>
    <w:rsid w:val="007601C2"/>
    <w:rsid w:val="0076122E"/>
    <w:rsid w:val="0076334E"/>
    <w:rsid w:val="00763BD0"/>
    <w:rsid w:val="00784B77"/>
    <w:rsid w:val="00784D0B"/>
    <w:rsid w:val="00790C26"/>
    <w:rsid w:val="00793C19"/>
    <w:rsid w:val="007977C0"/>
    <w:rsid w:val="007B31A4"/>
    <w:rsid w:val="007E4DA7"/>
    <w:rsid w:val="007F7325"/>
    <w:rsid w:val="00807287"/>
    <w:rsid w:val="00811B46"/>
    <w:rsid w:val="00821959"/>
    <w:rsid w:val="008227BF"/>
    <w:rsid w:val="00827DBF"/>
    <w:rsid w:val="008307C5"/>
    <w:rsid w:val="00857D9F"/>
    <w:rsid w:val="00863D75"/>
    <w:rsid w:val="008676B8"/>
    <w:rsid w:val="00887204"/>
    <w:rsid w:val="0089731A"/>
    <w:rsid w:val="008A4B77"/>
    <w:rsid w:val="008A7AF0"/>
    <w:rsid w:val="008B2BF2"/>
    <w:rsid w:val="008B6626"/>
    <w:rsid w:val="008C56C6"/>
    <w:rsid w:val="008D489C"/>
    <w:rsid w:val="008E2A2E"/>
    <w:rsid w:val="008F2257"/>
    <w:rsid w:val="00904D53"/>
    <w:rsid w:val="00912D49"/>
    <w:rsid w:val="00915919"/>
    <w:rsid w:val="00923244"/>
    <w:rsid w:val="00924915"/>
    <w:rsid w:val="00936EC0"/>
    <w:rsid w:val="00941AD7"/>
    <w:rsid w:val="00960240"/>
    <w:rsid w:val="009669E1"/>
    <w:rsid w:val="00980FCB"/>
    <w:rsid w:val="00984B08"/>
    <w:rsid w:val="009A2BF6"/>
    <w:rsid w:val="009A5614"/>
    <w:rsid w:val="009B0FAA"/>
    <w:rsid w:val="009B224A"/>
    <w:rsid w:val="009C6D96"/>
    <w:rsid w:val="009D34E9"/>
    <w:rsid w:val="009D6C2C"/>
    <w:rsid w:val="009D7E50"/>
    <w:rsid w:val="009F47DE"/>
    <w:rsid w:val="009F6EA2"/>
    <w:rsid w:val="00A02B48"/>
    <w:rsid w:val="00A1192E"/>
    <w:rsid w:val="00A15E59"/>
    <w:rsid w:val="00A179BF"/>
    <w:rsid w:val="00A17EA8"/>
    <w:rsid w:val="00A328D7"/>
    <w:rsid w:val="00A3335F"/>
    <w:rsid w:val="00A41194"/>
    <w:rsid w:val="00A53349"/>
    <w:rsid w:val="00A55F25"/>
    <w:rsid w:val="00A61AB2"/>
    <w:rsid w:val="00A62CE0"/>
    <w:rsid w:val="00A63D5A"/>
    <w:rsid w:val="00A67F4E"/>
    <w:rsid w:val="00A7305A"/>
    <w:rsid w:val="00A869C8"/>
    <w:rsid w:val="00A9481B"/>
    <w:rsid w:val="00A966BE"/>
    <w:rsid w:val="00AA2435"/>
    <w:rsid w:val="00AA36B7"/>
    <w:rsid w:val="00AA3EB4"/>
    <w:rsid w:val="00AB155B"/>
    <w:rsid w:val="00B05063"/>
    <w:rsid w:val="00B07E66"/>
    <w:rsid w:val="00B23480"/>
    <w:rsid w:val="00B4275D"/>
    <w:rsid w:val="00B42AD9"/>
    <w:rsid w:val="00B4440F"/>
    <w:rsid w:val="00B466DA"/>
    <w:rsid w:val="00B5625D"/>
    <w:rsid w:val="00B72B48"/>
    <w:rsid w:val="00B827E1"/>
    <w:rsid w:val="00B85213"/>
    <w:rsid w:val="00B8652F"/>
    <w:rsid w:val="00BA671E"/>
    <w:rsid w:val="00BC29B0"/>
    <w:rsid w:val="00BC6DA3"/>
    <w:rsid w:val="00BC71DC"/>
    <w:rsid w:val="00C00378"/>
    <w:rsid w:val="00C02B5B"/>
    <w:rsid w:val="00C1072F"/>
    <w:rsid w:val="00C22EEE"/>
    <w:rsid w:val="00C32184"/>
    <w:rsid w:val="00C52739"/>
    <w:rsid w:val="00C56110"/>
    <w:rsid w:val="00C707B1"/>
    <w:rsid w:val="00C77022"/>
    <w:rsid w:val="00C81063"/>
    <w:rsid w:val="00C82379"/>
    <w:rsid w:val="00C85A01"/>
    <w:rsid w:val="00C9074F"/>
    <w:rsid w:val="00C91399"/>
    <w:rsid w:val="00C9218C"/>
    <w:rsid w:val="00C951A7"/>
    <w:rsid w:val="00C97625"/>
    <w:rsid w:val="00CC55AE"/>
    <w:rsid w:val="00CD1BAA"/>
    <w:rsid w:val="00CD32CC"/>
    <w:rsid w:val="00CD60F8"/>
    <w:rsid w:val="00CD773E"/>
    <w:rsid w:val="00CE0E8D"/>
    <w:rsid w:val="00CE5497"/>
    <w:rsid w:val="00CE7F40"/>
    <w:rsid w:val="00D05FC3"/>
    <w:rsid w:val="00D07EF1"/>
    <w:rsid w:val="00D10D47"/>
    <w:rsid w:val="00D13BE0"/>
    <w:rsid w:val="00D233C0"/>
    <w:rsid w:val="00D36075"/>
    <w:rsid w:val="00D40048"/>
    <w:rsid w:val="00D569A8"/>
    <w:rsid w:val="00D57F0A"/>
    <w:rsid w:val="00D60B2D"/>
    <w:rsid w:val="00D776F2"/>
    <w:rsid w:val="00D96032"/>
    <w:rsid w:val="00DB0A46"/>
    <w:rsid w:val="00DB2AAE"/>
    <w:rsid w:val="00DC4F3D"/>
    <w:rsid w:val="00DE2C74"/>
    <w:rsid w:val="00DF06FD"/>
    <w:rsid w:val="00E02682"/>
    <w:rsid w:val="00E044E1"/>
    <w:rsid w:val="00E21F7A"/>
    <w:rsid w:val="00E24F91"/>
    <w:rsid w:val="00E3019F"/>
    <w:rsid w:val="00E518DF"/>
    <w:rsid w:val="00E5620D"/>
    <w:rsid w:val="00E60C92"/>
    <w:rsid w:val="00E66E6F"/>
    <w:rsid w:val="00E71220"/>
    <w:rsid w:val="00E716C7"/>
    <w:rsid w:val="00E71C21"/>
    <w:rsid w:val="00E740F5"/>
    <w:rsid w:val="00E75D2C"/>
    <w:rsid w:val="00E854CF"/>
    <w:rsid w:val="00E9183B"/>
    <w:rsid w:val="00EC3214"/>
    <w:rsid w:val="00EE4171"/>
    <w:rsid w:val="00EF1858"/>
    <w:rsid w:val="00EF2555"/>
    <w:rsid w:val="00F03D5D"/>
    <w:rsid w:val="00F03ED6"/>
    <w:rsid w:val="00F14AF9"/>
    <w:rsid w:val="00F16DB1"/>
    <w:rsid w:val="00F31CD6"/>
    <w:rsid w:val="00F43EE3"/>
    <w:rsid w:val="00F50B8B"/>
    <w:rsid w:val="00F5724B"/>
    <w:rsid w:val="00F61378"/>
    <w:rsid w:val="00F66DC3"/>
    <w:rsid w:val="00F76354"/>
    <w:rsid w:val="00F84A37"/>
    <w:rsid w:val="00F85755"/>
    <w:rsid w:val="00FA2E5E"/>
    <w:rsid w:val="00FD58D9"/>
    <w:rsid w:val="00FF79BE"/>
    <w:rsid w:val="013B19E7"/>
    <w:rsid w:val="029907CA"/>
    <w:rsid w:val="034E58CC"/>
    <w:rsid w:val="0A881566"/>
    <w:rsid w:val="0D626A8C"/>
    <w:rsid w:val="0E99475F"/>
    <w:rsid w:val="124051C7"/>
    <w:rsid w:val="1A5261B3"/>
    <w:rsid w:val="1A9B78A8"/>
    <w:rsid w:val="1B890CC3"/>
    <w:rsid w:val="1FAF1BC6"/>
    <w:rsid w:val="28156802"/>
    <w:rsid w:val="2B9C1D36"/>
    <w:rsid w:val="36DF2498"/>
    <w:rsid w:val="38C01AA3"/>
    <w:rsid w:val="39533268"/>
    <w:rsid w:val="3FDF7C68"/>
    <w:rsid w:val="4AF77625"/>
    <w:rsid w:val="505B5251"/>
    <w:rsid w:val="558E57F2"/>
    <w:rsid w:val="5A872ED7"/>
    <w:rsid w:val="5C20240C"/>
    <w:rsid w:val="5E1A1D38"/>
    <w:rsid w:val="616A22A9"/>
    <w:rsid w:val="64D9530B"/>
    <w:rsid w:val="691C4FAF"/>
    <w:rsid w:val="6A3218CA"/>
    <w:rsid w:val="6B9C4718"/>
    <w:rsid w:val="6BD43A89"/>
    <w:rsid w:val="6DBE2C1F"/>
    <w:rsid w:val="704334AC"/>
    <w:rsid w:val="799E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 w:locked="1"/>
    <w:lsdException w:qFormat="1" w:uiPriority="9" w:name="heading 5" w:locked="1"/>
    <w:lsdException w:qFormat="1" w:uiPriority="9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qFormat="1" w:unhideWhenUsed="0" w:uiPriority="99" w:semiHidden="0" w:name="toc 1"/>
    <w:lsdException w:qFormat="1" w:unhideWhenUsed="0" w:uiPriority="99" w:semiHidden="0" w:name="toc 2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99" w:name="Normal Indent" w:locked="1"/>
    <w:lsdException w:uiPriority="99" w:name="footnote text" w:locked="1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iPriority="35" w:name="caption" w:locked="1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qFormat="1" w:unhideWhenUsed="0" w:uiPriority="99" w:semiHidden="0" w:name="annotation reference"/>
    <w:lsdException w:uiPriority="99" w:name="line number" w:locked="1"/>
    <w:lsdException w:qFormat="1" w:unhideWhenUsed="0" w:uiPriority="99" w:semiHidden="0" w:name="page number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10" w:semiHidden="0" w:name="Title" w:locked="1"/>
    <w:lsdException w:uiPriority="99" w:name="Closing" w:locked="1"/>
    <w:lsdException w:uiPriority="99" w:name="Signature" w:locked="1"/>
    <w:lsdException w:unhideWhenUsed="0" w:uiPriority="99" w:name="Default Paragraph Font"/>
    <w:lsdException w:uiPriority="99" w:name="Body Text" w:locked="1"/>
    <w:lsdException w:qFormat="1" w:unhideWhenUsed="0" w:uiPriority="99" w:semiHidden="0" w:name="Body Text Indent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11" w:semiHidden="0" w:name="Subtitle" w:locked="1"/>
    <w:lsdException w:uiPriority="99" w:name="Salutation" w:locked="1"/>
    <w:lsdException w:qFormat="1" w:unhideWhenUsed="0" w:uiPriority="99" w:semiHidden="0" w:name="Date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qFormat="1" w:unhideWhenUsed="0" w:uiPriority="99" w:semiHidden="0" w:name="Body Text Indent 2"/>
    <w:lsdException w:qFormat="1" w:unhideWhenUsed="0" w:uiPriority="99" w:semiHidden="0" w:name="Body Text Indent 3"/>
    <w:lsdException w:uiPriority="99" w:name="Block Text" w:locked="1"/>
    <w:lsdException w:qFormat="1" w:unhideWhenUsed="0" w:uiPriority="99" w:semiHidden="0" w:name="Hyperlink"/>
    <w:lsdException w:uiPriority="99" w:name="FollowedHyperlink" w:locked="1"/>
    <w:lsdException w:qFormat="1" w:unhideWhenUsed="0" w:uiPriority="22" w:semiHidden="0" w:name="Strong" w:locked="1"/>
    <w:lsdException w:qFormat="1" w:unhideWhenUsed="0" w:uiPriority="20" w:semiHidden="0" w:name="Emphasis" w:locked="1"/>
    <w:lsdException w:qFormat="1" w:unhideWhenUsed="0" w:uiPriority="99" w:name="Document Map"/>
    <w:lsdException w:qFormat="1" w:unhideWhenUsed="0" w:uiPriority="99" w:semiHidden="0" w:name="Plain Text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qFormat="1" w:unhideWhenUsed="0" w:uiPriority="99" w:semiHidden="0" w:name="annotation subject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99" w:name="Balloon Text"/>
    <w:lsdException w:qFormat="1" w:unhideWhenUsed="0" w:uiPriority="99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9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qFormat/>
    <w:uiPriority w:val="99"/>
    <w:pPr>
      <w:keepNext/>
      <w:keepLines/>
      <w:spacing w:before="260" w:after="260" w:line="416" w:lineRule="auto"/>
      <w:jc w:val="center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26"/>
    <w:qFormat/>
    <w:uiPriority w:val="99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kern w:val="0"/>
      <w:sz w:val="32"/>
      <w:szCs w:val="32"/>
    </w:rPr>
  </w:style>
  <w:style w:type="character" w:default="1" w:styleId="20">
    <w:name w:val="Default Paragraph Font"/>
    <w:semiHidden/>
    <w:uiPriority w:val="99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7"/>
    <w:semiHidden/>
    <w:qFormat/>
    <w:uiPriority w:val="99"/>
    <w:pPr>
      <w:shd w:val="clear" w:color="auto" w:fill="000080"/>
    </w:pPr>
    <w:rPr>
      <w:kern w:val="0"/>
      <w:sz w:val="20"/>
    </w:rPr>
  </w:style>
  <w:style w:type="paragraph" w:styleId="6">
    <w:name w:val="annotation text"/>
    <w:basedOn w:val="1"/>
    <w:link w:val="28"/>
    <w:qFormat/>
    <w:uiPriority w:val="99"/>
    <w:pPr>
      <w:jc w:val="left"/>
    </w:pPr>
    <w:rPr>
      <w:rFonts w:ascii="Calibri" w:hAnsi="Calibri"/>
      <w:kern w:val="0"/>
      <w:sz w:val="20"/>
    </w:rPr>
  </w:style>
  <w:style w:type="paragraph" w:styleId="7">
    <w:name w:val="Body Text Indent"/>
    <w:basedOn w:val="1"/>
    <w:link w:val="29"/>
    <w:qFormat/>
    <w:uiPriority w:val="99"/>
    <w:pPr>
      <w:spacing w:after="120"/>
      <w:ind w:left="420" w:leftChars="200"/>
    </w:pPr>
    <w:rPr>
      <w:kern w:val="0"/>
      <w:sz w:val="20"/>
      <w:lang w:val="zh-CN"/>
    </w:rPr>
  </w:style>
  <w:style w:type="paragraph" w:styleId="8">
    <w:name w:val="Plain Text"/>
    <w:basedOn w:val="1"/>
    <w:link w:val="30"/>
    <w:qFormat/>
    <w:uiPriority w:val="99"/>
    <w:rPr>
      <w:rFonts w:ascii="宋体" w:hAnsi="Courier New"/>
      <w:kern w:val="0"/>
      <w:szCs w:val="21"/>
    </w:rPr>
  </w:style>
  <w:style w:type="paragraph" w:styleId="9">
    <w:name w:val="Date"/>
    <w:basedOn w:val="1"/>
    <w:next w:val="1"/>
    <w:link w:val="31"/>
    <w:qFormat/>
    <w:uiPriority w:val="99"/>
    <w:rPr>
      <w:rFonts w:ascii="宋体"/>
      <w:kern w:val="0"/>
      <w:sz w:val="20"/>
    </w:rPr>
  </w:style>
  <w:style w:type="paragraph" w:styleId="10">
    <w:name w:val="Body Text Indent 2"/>
    <w:basedOn w:val="1"/>
    <w:link w:val="32"/>
    <w:qFormat/>
    <w:uiPriority w:val="99"/>
    <w:pPr>
      <w:spacing w:after="120" w:line="480" w:lineRule="auto"/>
      <w:ind w:left="420" w:leftChars="200"/>
    </w:pPr>
    <w:rPr>
      <w:rFonts w:ascii="Calibri" w:hAnsi="Calibri"/>
      <w:szCs w:val="22"/>
    </w:rPr>
  </w:style>
  <w:style w:type="paragraph" w:styleId="11">
    <w:name w:val="Balloon Text"/>
    <w:basedOn w:val="1"/>
    <w:link w:val="33"/>
    <w:semiHidden/>
    <w:qFormat/>
    <w:uiPriority w:val="99"/>
    <w:rPr>
      <w:kern w:val="0"/>
      <w:sz w:val="18"/>
      <w:szCs w:val="18"/>
    </w:rPr>
  </w:style>
  <w:style w:type="paragraph" w:styleId="12">
    <w:name w:val="footer"/>
    <w:basedOn w:val="1"/>
    <w:link w:val="34"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20"/>
    </w:rPr>
  </w:style>
  <w:style w:type="paragraph" w:styleId="13">
    <w:name w:val="header"/>
    <w:basedOn w:val="1"/>
    <w:link w:val="3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4">
    <w:name w:val="toc 1"/>
    <w:basedOn w:val="1"/>
    <w:next w:val="1"/>
    <w:qFormat/>
    <w:uiPriority w:val="99"/>
    <w:pPr>
      <w:spacing w:line="360" w:lineRule="auto"/>
    </w:pPr>
    <w:rPr>
      <w:rFonts w:ascii="Calibri" w:hAnsi="Calibri"/>
      <w:sz w:val="24"/>
      <w:szCs w:val="22"/>
    </w:rPr>
  </w:style>
  <w:style w:type="paragraph" w:styleId="15">
    <w:name w:val="Body Text Indent 3"/>
    <w:basedOn w:val="1"/>
    <w:link w:val="36"/>
    <w:qFormat/>
    <w:uiPriority w:val="99"/>
    <w:pPr>
      <w:spacing w:after="120"/>
      <w:ind w:left="420" w:leftChars="200"/>
    </w:pPr>
    <w:rPr>
      <w:kern w:val="0"/>
      <w:sz w:val="16"/>
    </w:rPr>
  </w:style>
  <w:style w:type="paragraph" w:styleId="16">
    <w:name w:val="toc 2"/>
    <w:basedOn w:val="1"/>
    <w:next w:val="1"/>
    <w:qFormat/>
    <w:uiPriority w:val="99"/>
    <w:pPr>
      <w:spacing w:line="360" w:lineRule="auto"/>
      <w:ind w:left="420" w:leftChars="200"/>
    </w:pPr>
    <w:rPr>
      <w:rFonts w:ascii="Calibri" w:hAnsi="Calibri"/>
      <w:sz w:val="24"/>
      <w:szCs w:val="22"/>
    </w:rPr>
  </w:style>
  <w:style w:type="paragraph" w:styleId="17">
    <w:name w:val="annotation subject"/>
    <w:basedOn w:val="6"/>
    <w:next w:val="6"/>
    <w:link w:val="37"/>
    <w:qFormat/>
    <w:uiPriority w:val="99"/>
    <w:rPr>
      <w:b/>
      <w:bCs/>
    </w:rPr>
  </w:style>
  <w:style w:type="table" w:styleId="19">
    <w:name w:val="Table Grid"/>
    <w:basedOn w:val="18"/>
    <w:qFormat/>
    <w:uiPriority w:val="9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1">
    <w:name w:val="page number"/>
    <w:basedOn w:val="20"/>
    <w:qFormat/>
    <w:uiPriority w:val="99"/>
    <w:rPr>
      <w:rFonts w:cs="Times New Roman"/>
    </w:rPr>
  </w:style>
  <w:style w:type="character" w:styleId="22">
    <w:name w:val="Hyperlink"/>
    <w:basedOn w:val="20"/>
    <w:qFormat/>
    <w:uiPriority w:val="99"/>
    <w:rPr>
      <w:rFonts w:cs="Times New Roman"/>
      <w:color w:val="0000FF"/>
      <w:u w:val="single"/>
    </w:rPr>
  </w:style>
  <w:style w:type="character" w:styleId="23">
    <w:name w:val="annotation reference"/>
    <w:basedOn w:val="20"/>
    <w:qFormat/>
    <w:uiPriority w:val="99"/>
    <w:rPr>
      <w:rFonts w:cs="Times New Roman"/>
      <w:sz w:val="21"/>
    </w:rPr>
  </w:style>
  <w:style w:type="character" w:customStyle="1" w:styleId="24">
    <w:name w:val="Heading 1 Char"/>
    <w:basedOn w:val="20"/>
    <w:link w:val="2"/>
    <w:qFormat/>
    <w:locked/>
    <w:uiPriority w:val="99"/>
    <w:rPr>
      <w:rFonts w:ascii="Calibri" w:hAnsi="Calibri" w:eastAsia="宋体" w:cs="Times New Roman"/>
      <w:b/>
      <w:kern w:val="44"/>
      <w:sz w:val="44"/>
    </w:rPr>
  </w:style>
  <w:style w:type="character" w:customStyle="1" w:styleId="25">
    <w:name w:val="Heading 2 Char"/>
    <w:basedOn w:val="20"/>
    <w:link w:val="3"/>
    <w:qFormat/>
    <w:locked/>
    <w:uiPriority w:val="99"/>
    <w:rPr>
      <w:rFonts w:ascii="Cambria" w:hAnsi="Cambria" w:eastAsia="宋体" w:cs="Times New Roman"/>
      <w:b/>
      <w:sz w:val="32"/>
    </w:rPr>
  </w:style>
  <w:style w:type="character" w:customStyle="1" w:styleId="26">
    <w:name w:val="Heading 3 Char"/>
    <w:basedOn w:val="20"/>
    <w:link w:val="4"/>
    <w:qFormat/>
    <w:locked/>
    <w:uiPriority w:val="99"/>
    <w:rPr>
      <w:rFonts w:ascii="Calibri" w:hAnsi="Calibri" w:eastAsia="宋体" w:cs="Times New Roman"/>
      <w:b/>
      <w:sz w:val="32"/>
    </w:rPr>
  </w:style>
  <w:style w:type="character" w:customStyle="1" w:styleId="27">
    <w:name w:val="Document Map Char"/>
    <w:basedOn w:val="20"/>
    <w:link w:val="5"/>
    <w:semiHidden/>
    <w:qFormat/>
    <w:locked/>
    <w:uiPriority w:val="99"/>
    <w:rPr>
      <w:rFonts w:ascii="Times New Roman" w:hAnsi="Times New Roman" w:eastAsia="宋体" w:cs="Times New Roman"/>
      <w:sz w:val="20"/>
      <w:shd w:val="clear" w:color="auto" w:fill="000080"/>
    </w:rPr>
  </w:style>
  <w:style w:type="character" w:customStyle="1" w:styleId="28">
    <w:name w:val="Comment Text Char"/>
    <w:basedOn w:val="20"/>
    <w:link w:val="6"/>
    <w:qFormat/>
    <w:locked/>
    <w:uiPriority w:val="99"/>
    <w:rPr>
      <w:rFonts w:ascii="Calibri" w:hAnsi="Calibri" w:eastAsia="宋体" w:cs="Times New Roman"/>
    </w:rPr>
  </w:style>
  <w:style w:type="character" w:customStyle="1" w:styleId="29">
    <w:name w:val="Body Text Indent Char"/>
    <w:basedOn w:val="20"/>
    <w:link w:val="7"/>
    <w:qFormat/>
    <w:locked/>
    <w:uiPriority w:val="99"/>
    <w:rPr>
      <w:rFonts w:ascii="Times New Roman" w:hAnsi="Times New Roman" w:eastAsia="宋体" w:cs="Times New Roman"/>
      <w:sz w:val="20"/>
      <w:lang w:val="zh-CN" w:eastAsia="zh-CN"/>
    </w:rPr>
  </w:style>
  <w:style w:type="character" w:customStyle="1" w:styleId="30">
    <w:name w:val="Plain Text Char"/>
    <w:basedOn w:val="20"/>
    <w:link w:val="8"/>
    <w:qFormat/>
    <w:locked/>
    <w:uiPriority w:val="99"/>
    <w:rPr>
      <w:rFonts w:ascii="宋体" w:hAnsi="Courier New" w:eastAsia="宋体" w:cs="Times New Roman"/>
      <w:sz w:val="21"/>
    </w:rPr>
  </w:style>
  <w:style w:type="character" w:customStyle="1" w:styleId="31">
    <w:name w:val="Date Char"/>
    <w:basedOn w:val="20"/>
    <w:link w:val="9"/>
    <w:qFormat/>
    <w:locked/>
    <w:uiPriority w:val="99"/>
    <w:rPr>
      <w:rFonts w:ascii="宋体" w:hAnsi="Times New Roman" w:eastAsia="宋体" w:cs="Times New Roman"/>
      <w:sz w:val="20"/>
    </w:rPr>
  </w:style>
  <w:style w:type="character" w:customStyle="1" w:styleId="32">
    <w:name w:val="Body Text Indent 2 Char"/>
    <w:basedOn w:val="20"/>
    <w:link w:val="10"/>
    <w:qFormat/>
    <w:locked/>
    <w:uiPriority w:val="99"/>
    <w:rPr>
      <w:rFonts w:cs="Times New Roman"/>
    </w:rPr>
  </w:style>
  <w:style w:type="character" w:customStyle="1" w:styleId="33">
    <w:name w:val="Balloon Text Char"/>
    <w:basedOn w:val="20"/>
    <w:link w:val="11"/>
    <w:semiHidden/>
    <w:qFormat/>
    <w:locked/>
    <w:uiPriority w:val="99"/>
    <w:rPr>
      <w:rFonts w:ascii="Times New Roman" w:hAnsi="Times New Roman" w:eastAsia="宋体" w:cs="Times New Roman"/>
      <w:sz w:val="18"/>
    </w:rPr>
  </w:style>
  <w:style w:type="character" w:customStyle="1" w:styleId="34">
    <w:name w:val="Footer Char"/>
    <w:basedOn w:val="20"/>
    <w:link w:val="12"/>
    <w:locked/>
    <w:uiPriority w:val="99"/>
    <w:rPr>
      <w:rFonts w:ascii="Times New Roman" w:hAnsi="Times New Roman" w:eastAsia="宋体" w:cs="Times New Roman"/>
      <w:sz w:val="20"/>
    </w:rPr>
  </w:style>
  <w:style w:type="character" w:customStyle="1" w:styleId="35">
    <w:name w:val="Header Char"/>
    <w:basedOn w:val="20"/>
    <w:link w:val="13"/>
    <w:qFormat/>
    <w:locked/>
    <w:uiPriority w:val="99"/>
    <w:rPr>
      <w:rFonts w:ascii="Times New Roman" w:hAnsi="Times New Roman" w:eastAsia="宋体" w:cs="Times New Roman"/>
      <w:sz w:val="18"/>
    </w:rPr>
  </w:style>
  <w:style w:type="character" w:customStyle="1" w:styleId="36">
    <w:name w:val="Body Text Indent 3 Char"/>
    <w:basedOn w:val="20"/>
    <w:link w:val="15"/>
    <w:qFormat/>
    <w:locked/>
    <w:uiPriority w:val="99"/>
    <w:rPr>
      <w:rFonts w:cs="Times New Roman"/>
      <w:sz w:val="16"/>
    </w:rPr>
  </w:style>
  <w:style w:type="character" w:customStyle="1" w:styleId="37">
    <w:name w:val="Comment Subject Char"/>
    <w:basedOn w:val="28"/>
    <w:link w:val="17"/>
    <w:qFormat/>
    <w:locked/>
    <w:uiPriority w:val="99"/>
    <w:rPr>
      <w:b/>
    </w:rPr>
  </w:style>
  <w:style w:type="paragraph" w:customStyle="1" w:styleId="38">
    <w:name w:val="样式 标题一 副标题 + 居中"/>
    <w:basedOn w:val="1"/>
    <w:qFormat/>
    <w:uiPriority w:val="99"/>
    <w:pPr>
      <w:tabs>
        <w:tab w:val="left" w:pos="720"/>
        <w:tab w:val="left" w:pos="7740"/>
      </w:tabs>
      <w:spacing w:after="240" w:line="240" w:lineRule="atLeast"/>
      <w:ind w:left="357" w:firstLine="150" w:firstLineChars="150"/>
      <w:jc w:val="left"/>
    </w:pPr>
    <w:rPr>
      <w:rFonts w:ascii="宋体" w:eastAsia="黑体"/>
      <w:kern w:val="0"/>
      <w:sz w:val="44"/>
    </w:rPr>
  </w:style>
  <w:style w:type="paragraph" w:customStyle="1" w:styleId="39">
    <w:name w:val="1"/>
    <w:basedOn w:val="1"/>
    <w:next w:val="7"/>
    <w:qFormat/>
    <w:uiPriority w:val="99"/>
    <w:pPr>
      <w:snapToGrid w:val="0"/>
      <w:spacing w:line="560" w:lineRule="atLeast"/>
      <w:ind w:firstLine="630"/>
    </w:pPr>
    <w:rPr>
      <w:sz w:val="31"/>
    </w:rPr>
  </w:style>
  <w:style w:type="character" w:customStyle="1" w:styleId="40">
    <w:name w:val="Char"/>
    <w:qFormat/>
    <w:uiPriority w:val="99"/>
    <w:rPr>
      <w:rFonts w:eastAsia="宋体"/>
      <w:kern w:val="2"/>
      <w:sz w:val="31"/>
      <w:lang w:val="en-US" w:eastAsia="zh-CN"/>
    </w:rPr>
  </w:style>
  <w:style w:type="paragraph" w:styleId="41">
    <w:name w:val="List Paragraph"/>
    <w:basedOn w:val="1"/>
    <w:qFormat/>
    <w:uiPriority w:val="99"/>
    <w:pPr>
      <w:spacing w:line="360" w:lineRule="auto"/>
      <w:ind w:firstLine="420" w:firstLineChars="200"/>
    </w:pPr>
    <w:rPr>
      <w:rFonts w:ascii="Calibri" w:hAnsi="Calibri"/>
      <w:sz w:val="24"/>
      <w:szCs w:val="22"/>
    </w:rPr>
  </w:style>
  <w:style w:type="character" w:customStyle="1" w:styleId="42">
    <w:name w:val="正文文本缩进 2 Char1"/>
    <w:qFormat/>
    <w:uiPriority w:val="99"/>
    <w:rPr>
      <w:rFonts w:ascii="Times New Roman" w:hAnsi="Times New Roman" w:eastAsia="宋体"/>
      <w:sz w:val="20"/>
    </w:rPr>
  </w:style>
  <w:style w:type="character" w:customStyle="1" w:styleId="43">
    <w:name w:val="正文文本缩进 3 Char1"/>
    <w:qFormat/>
    <w:uiPriority w:val="99"/>
    <w:rPr>
      <w:rFonts w:ascii="Times New Roman" w:hAnsi="Times New Roman" w:eastAsia="宋体"/>
      <w:sz w:val="16"/>
    </w:rPr>
  </w:style>
  <w:style w:type="paragraph" w:customStyle="1" w:styleId="44">
    <w:name w:val="p0"/>
    <w:basedOn w:val="1"/>
    <w:qFormat/>
    <w:uiPriority w:val="99"/>
    <w:pPr>
      <w:widowControl/>
    </w:pPr>
    <w:rPr>
      <w:kern w:val="0"/>
      <w:szCs w:val="21"/>
    </w:rPr>
  </w:style>
  <w:style w:type="paragraph" w:customStyle="1" w:styleId="45">
    <w:name w:val="TOC 标题1"/>
    <w:basedOn w:val="2"/>
    <w:next w:val="1"/>
    <w:qFormat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46">
    <w:name w:val="修订1"/>
    <w:hidden/>
    <w:semiHidden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Lenovo</Company>
  <Pages>9</Pages>
  <Words>1142</Words>
  <Characters>6512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2021-06-06T22:53:00Z</dcterms:created>
  <dc:creator>lenovo</dc:creator>
  <cp:lastModifiedBy>liangsui</cp:lastModifiedBy>
  <cp:lastPrinted>2021-05-10T06:01:00Z</cp:lastPrinted>
  <dcterms:modified xsi:type="dcterms:W3CDTF">2021-08-31T04:16:50Z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4E2F9B873FCA44DC9EF6BAAF6DDA7CC3</vt:lpwstr>
  </property>
</Properties>
</file>