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671695"/>
            <wp:effectExtent l="0" t="0" r="0" b="6985"/>
            <wp:docPr id="1" name="图片 1" descr="b1588c286be8692840015f1af0bf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1588c286be8692840015f1af0bf3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旅游地产与传统旅游业的比较</w:t>
      </w:r>
    </w:p>
    <w:tbl>
      <w:tblPr>
        <w:tblStyle w:val="3"/>
        <w:tblpPr w:leftFromText="180" w:rightFromText="180" w:vertAnchor="text" w:horzAnchor="page" w:tblpX="1748" w:tblpY="102"/>
        <w:tblOverlap w:val="never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3527"/>
        <w:gridCol w:w="371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pct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69" w:type="pct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传统旅游业</w:t>
            </w:r>
          </w:p>
        </w:tc>
        <w:tc>
          <w:tcPr>
            <w:tcW w:w="2177" w:type="pct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旅游地产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pct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投资回报</w:t>
            </w:r>
          </w:p>
        </w:tc>
        <w:tc>
          <w:tcPr>
            <w:tcW w:w="2069" w:type="pct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投资回收期缓慢，如酒店主要依靠房间的出租，景区主要依靠门票收入。</w:t>
            </w:r>
          </w:p>
        </w:tc>
        <w:tc>
          <w:tcPr>
            <w:tcW w:w="2177" w:type="pct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旅游地产开发商依托优良的旅游资源和完善的售后服务吸引顾客，投资回报率高。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pct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消费档次</w:t>
            </w:r>
          </w:p>
        </w:tc>
        <w:tc>
          <w:tcPr>
            <w:tcW w:w="2069" w:type="pct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由于其广泛性，主要面向大众消费。</w:t>
            </w:r>
          </w:p>
        </w:tc>
        <w:tc>
          <w:tcPr>
            <w:tcW w:w="2177" w:type="pct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旅游地产的消费水平较高，消费群主要集中在城市的中、高收入者。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" w:type="pct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经营特征</w:t>
            </w:r>
          </w:p>
        </w:tc>
        <w:tc>
          <w:tcPr>
            <w:tcW w:w="2069" w:type="pct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经营本地化，较少出现异地经营，当地消费不存在储存消费和期权消费。</w:t>
            </w:r>
          </w:p>
        </w:tc>
        <w:tc>
          <w:tcPr>
            <w:tcW w:w="2177" w:type="pct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旅游地产满足异地经营，消费时间可以是多次的，消费具有可存储性，目前正研究旅游地产的期权消费。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279775"/>
            <wp:effectExtent l="0" t="0" r="4445" b="12065"/>
            <wp:docPr id="2" name="图片 2" descr="87163c2f24a9600f8eb7763e74681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7163c2f24a9600f8eb7763e74681d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表2 （来源：赛普地产研究所）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差异点</w:t>
            </w:r>
          </w:p>
        </w:tc>
        <w:tc>
          <w:tcPr>
            <w:tcW w:w="2841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文旅地产项目/文旅盘</w:t>
            </w:r>
          </w:p>
        </w:tc>
        <w:tc>
          <w:tcPr>
            <w:tcW w:w="2841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传统地产项目/城市盘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拿地方式</w:t>
            </w:r>
          </w:p>
        </w:tc>
        <w:tc>
          <w:tcPr>
            <w:tcW w:w="2841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勾地为主</w:t>
            </w:r>
          </w:p>
        </w:tc>
        <w:tc>
          <w:tcPr>
            <w:tcW w:w="2841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招拍挂为主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项目区位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多布局在离核心城市车程1-2小时的远郊，依赖自然资源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多布局在交通便利、基础设施完善的城市核心地段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项目体量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集成业态多，项目体量大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相较于文旅盘项目体量小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开发周期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平均开发周期为8-10年，多为分期开发，周期长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平均开发周期为1-3年，周期较短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投入总量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前期投入大，现金流回正时间长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前期投入低，现金流回正快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项目配套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对基础设施建设要求高，注重商业、休闲等配套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基础设施较健全，对配套要求不高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经营逻辑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客户体验为导向，注重社群活动、品牌打造、营销策划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以快速周转、去化为导向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目标客群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改善型、投资型为主，周边跨城客户多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各类型需求均有，本城居民为主要客户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利润预期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利润兑现周期长，起势期利润小，但整盘利润空间大</w:t>
            </w:r>
          </w:p>
        </w:tc>
        <w:tc>
          <w:tcPr>
            <w:tcW w:w="2841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利润兑现周期较短，但利润空间有限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637405"/>
            <wp:effectExtent l="0" t="0" r="0" b="10795"/>
            <wp:docPr id="3" name="图片 3" descr="252e262253dc911b4d2ffd05ff477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52e262253dc911b4d2ffd05ff477c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表3  2020年各大房企参与文旅项目情况（来源：《2020年中国旅游地产发展报告》）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04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</w:t>
            </w:r>
          </w:p>
        </w:tc>
        <w:tc>
          <w:tcPr>
            <w:tcW w:w="1704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704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所属省份</w:t>
            </w:r>
          </w:p>
        </w:tc>
        <w:tc>
          <w:tcPr>
            <w:tcW w:w="1705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</w:t>
            </w:r>
          </w:p>
        </w:tc>
        <w:tc>
          <w:tcPr>
            <w:tcW w:w="1705" w:type="dxa"/>
            <w:tcBorders>
              <w:bottom w:val="single" w:color="000000" w:sz="12" w:space="0"/>
              <w:tl2br w:val="nil"/>
              <w:tr2bl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投资金额（亿元）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华侨城</w:t>
            </w:r>
          </w:p>
        </w:tc>
        <w:tc>
          <w:tcPr>
            <w:tcW w:w="1704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湖北黄石文化旅游项目</w:t>
            </w:r>
          </w:p>
        </w:tc>
        <w:tc>
          <w:tcPr>
            <w:tcW w:w="1704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湖北省</w:t>
            </w:r>
          </w:p>
        </w:tc>
        <w:tc>
          <w:tcPr>
            <w:tcW w:w="1705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op w:val="single" w:color="000000" w:sz="12" w:space="0"/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襄阳华侨城奇梦海滩水乐园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湖北省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主题公园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十里文化生态画廊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山东省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华侨城.滇池文旅城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云南省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珠海华侨城凤凰谷生态旅游项目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广东省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华侨城中山欢乐海岸项目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广东省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主题公园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东方巴黎“里达尼”项目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辽宁省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融创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融创.武地长江文旅城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湖北省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260（首期）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融创岳与岳西文旅项目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安徽省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海盐县山水文园六期乐园项目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主题公园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新乡中原融创文旅城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河南省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四川天府新区乐高乐园项目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四川省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主题公园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绍兴黄酒小镇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特色小镇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中南置地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海门张謇</w:t>
            </w:r>
            <w:r>
              <w:rPr>
                <w:rFonts w:hint="eastAsia"/>
                <w:vertAlign w:val="baseline"/>
                <w:lang w:val="en-US" w:eastAsia="zh-CN"/>
              </w:rPr>
              <w:t>故里小镇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特色小镇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恒大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贵阳恒大温泉小镇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贵州省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特色小镇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青岛胶州恒大水世界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山东省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主题乐园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恒大文化旅游康养城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河南省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恒大崇左文化旅游康养城项目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广西壮族自治区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碧桂园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平江县丽江田园综合体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湖南省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田园综合体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世茂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蓝精灵主题乐园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上海市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主题公园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绿地香港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晋宁绿地康养文旅项目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云南省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文旅综合体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F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2022-04-13T09:42:49Z</dcterms:created>
  <dc:creator>Administrator</dc:creator>
  <cp:lastModifiedBy>yippy</cp:lastModifiedBy>
  <dcterms:modified xsi:type="dcterms:W3CDTF">2022-04-13T10:25:06Z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606D01F1BE524A45A18A8D36CED2AFFE</vt:lpwstr>
  </property>
</Properties>
</file>