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59"/>
        <w:jc w:val="center"/>
      </w:pPr>
      <w:r>
        <w:rPr>
          <w:rFonts w:ascii="Calibri" w:cs="Calibri" w:eastAsia="Calibri" w:hAnsi="Calibri"/>
          <w:b/>
          <w:bCs/>
          <w:color w:val="123A4E"/>
          <w:sz w:val="32"/>
          <w:szCs w:val="32"/>
        </w:rPr>
        <w:t xml:space="preserve">RAPPORT DE COMPENSATION DES QUANTITÉS</w:t>
      </w:r>
    </w:p>
    <w:p>
      <w:pPr>
        <w:spacing w:after="40" w:line="259"/>
        <w:jc w:val="center"/>
      </w:pPr>
      <w:r>
        <w:rPr>
          <w:rFonts w:ascii="Calibri" w:cs="Calibri" w:eastAsia="Calibri" w:hAnsi="Calibri"/>
          <w:b/>
          <w:bCs/>
          <w:color w:val="1F6F8B"/>
          <w:sz w:val="24"/>
          <w:szCs w:val="24"/>
        </w:rPr>
        <w:t xml:space="preserve">Terrain multisport et vestiaires — CEG ANTANIMBARINANDRIANA</w:t>
      </w:r>
    </w:p>
    <w:p>
      <w:pPr>
        <w:spacing w:after="0" w:line="259"/>
        <w:jc w:val="center"/>
      </w:pPr>
      <w:r>
        <w:rPr>
          <w:rFonts w:ascii="Calibri" w:cs="Calibri" w:eastAsia="Calibri" w:hAnsi="Calibri"/>
          <w:i/>
          <w:iCs/>
          <w:color w:val="6B7A85"/>
          <w:sz w:val="18"/>
          <w:szCs w:val="18"/>
        </w:rPr>
        <w:t xml:space="preserve">Projet PE_MVOLA_14 financé par la Fondation AXIAN  •  Réception provisoire  •  Réf. ECAE/TMS-ANT/2026-RC-01</w:t>
      </w:r>
    </w:p>
    <w:p>
      <w:pPr>
        <w:spacing w:after="140" w:line="259"/>
        <w:jc w:val="center"/>
      </w:pPr>
      <w:r>
        <w:rPr>
          <w:rFonts w:ascii="Calibri" w:cs="Calibri" w:eastAsia="Calibri" w:hAnsi="Calibri"/>
          <w:i/>
          <w:iCs/>
          <w:color w:val="6B7A85"/>
          <w:sz w:val="18"/>
          <w:szCs w:val="18"/>
        </w:rPr>
        <w:t xml:space="preserve">Antananarivo, le 10 septembre 2026</w:t>
      </w:r>
    </w:p>
    <w:tbl>
      <w:tblPr>
        <w:tblW w:type="dxa" w:w="9746"/>
        <w:tblBorders>
          <w:top w:val="single" w:color="2E9CA6" w:sz="10"/>
          <w:left w:val="single" w:color="2E9CA6" w:sz="10"/>
          <w:bottom w:val="single" w:color="2E9CA6" w:sz="10"/>
          <w:right w:val="single" w:color="2E9CA6" w:sz="10"/>
          <w:insideH w:val="single" w:color="2E9CA6" w:sz="10"/>
          <w:insideV w:val="single" w:color="2E9CA6" w:sz="10"/>
        </w:tblBorders>
        <w:tblCellMar>
          <w:top w:type="dxa" w:w="60"/>
          <w:left w:type="dxa" w:w="108"/>
          <w:bottom w:type="dxa" w:w="60"/>
          <w:right w:type="dxa" w:w="108"/>
        </w:tblCellMar>
      </w:tblPr>
      <w:tblGrid>
        <w:gridCol w:w="9746"/>
      </w:tblGrid>
      <w:tr>
        <w:trPr>
          <w:cantSplit/>
        </w:trPr>
        <w:tc>
          <w:tcPr>
            <w:tcW w:type="dxa" w:w="9746"/>
            <w:shd w:fill="DCEAF0" w:color="auto" w:val="clear"/>
          </w:tcPr>
          <w:p>
            <w:pPr>
              <w:spacing w:after="20" w:line="259"/>
            </w:pPr>
            <w:r>
              <w:rPr>
                <w:rFonts w:ascii="Calibri" w:cs="Calibri" w:eastAsia="Calibri" w:hAnsi="Calibri"/>
                <w:b/>
                <w:bCs/>
                <w:color w:val="123A4E"/>
                <w:sz w:val="20"/>
                <w:szCs w:val="20"/>
              </w:rPr>
              <w:t xml:space="preserve">Objet</w:t>
            </w:r>
          </w:p>
          <w:p>
            <w:pPr>
              <w:spacing w:after="0" w:line="259"/>
              <w:jc w:val="both"/>
            </w:pPr>
            <w:r>
              <w:rPr>
                <w:rFonts w:ascii="Calibri" w:cs="Calibri" w:eastAsia="Calibri" w:hAnsi="Calibri"/>
                <w:color w:val="24333B"/>
                <w:sz w:val="19"/>
                <w:szCs w:val="19"/>
              </w:rPr>
              <w:t xml:space="preserve">À la réception, il a été relevé que la faïence murale des vestiaires a été réalisée sur 15 m² au lieu des 32 m² prévus au BDQE. Le présent rapport chiffre cet écart. Il le compare aux travaux que l'ECAE a réalisés en plus du BDQE, sans les facturer, parce qu'ils étaient nécessaires à la solidité et à la durée de vie de l'ouvrage pour les élèves du CEG. La moins-value et le supplément de terrain sont calculés aux prix unitaires TTC du BDQE contractuel révisé (lots Terrain multisport et Vestiaires) ; la couche de caillasse, poste inexistant au bordereau, est valorisée à un prix estimatif de </w:t>
            </w:r>
            <w:r>
              <w:rPr>
                <w:rFonts w:ascii="Calibri" w:cs="Calibri" w:eastAsia="Calibri" w:hAnsi="Calibri"/>
                <w:color w:val="24333B"/>
                <w:sz w:val="19"/>
                <w:szCs w:val="19"/>
              </w:rPr>
              <w:t xml:space="preserve">13 000 Ar/m² TTC.</w:t>
            </w:r>
          </w:p>
        </w:tc>
      </w:tr>
    </w:tbl>
    <w:p>
      <w:pPr>
        <w:pBdr>
          <w:bottom w:val="single" w:color="2E9CA6" w:sz="8" w:space="3"/>
        </w:pBdr>
        <w:spacing w:after="80" w:before="480" w:line="259"/>
        <w:ind w:left="340" w:hanging="340"/>
      </w:pPr>
      <w:r>
        <w:rPr>
          <w:rFonts w:ascii="Calibri" w:cs="Calibri" w:eastAsia="Calibri" w:hAnsi="Calibri"/>
          <w:b/>
          <w:bCs/>
          <w:color w:val="123A4E"/>
          <w:sz w:val="28"/>
          <w:szCs w:val="28"/>
        </w:rPr>
        <w:t xml:space="preserve">1.</w:t>
        <w:tab/>
        <w:t xml:space="preserve">CE QUI A ÉTÉ RÉALISÉ EN MOINS (MOINS-VALUE)</w:t>
      </w:r>
    </w:p>
    <w:tbl>
      <w:tblPr>
        <w:tblW w:type="dxa" w:w="9746"/>
        <w:tblBorders>
          <w:top w:val="single" w:color="C9D8DF" w:sz="4"/>
          <w:left w:val="single" w:color="C9D8DF" w:sz="4"/>
          <w:bottom w:val="single" w:color="C9D8DF" w:sz="4"/>
          <w:right w:val="single" w:color="C9D8DF" w:sz="4"/>
          <w:insideH w:val="single" w:color="C9D8DF" w:sz="4"/>
          <w:insideV w:val="single" w:color="C9D8DF" w:sz="4"/>
        </w:tblBorders>
        <w:tblCellMar>
          <w:top w:type="dxa" w:w="30"/>
          <w:left w:type="dxa" w:w="108"/>
          <w:bottom w:type="dxa" w:w="30"/>
          <w:right w:type="dxa" w:w="108"/>
        </w:tblCellMar>
      </w:tblPr>
      <w:tblGrid>
        <w:gridCol w:w="3624"/>
        <w:gridCol w:w="1248"/>
        <w:gridCol w:w="1074"/>
        <w:gridCol w:w="1078"/>
        <w:gridCol w:w="1136"/>
        <w:gridCol w:w="1586"/>
      </w:tblGrid>
      <w:tr>
        <w:trPr>
          <w:cantSplit/>
          <w:tblHeader w:val="false"/>
        </w:trPr>
        <w:tc>
          <w:tcPr>
            <w:tcW w:type="dxa" w:w="3624"/>
            <w:shd w:fill="123A4E" w:color="auto" w:val="clear"/>
          </w:tcPr>
          <w:p>
            <w:pPr>
              <w:spacing w:after="0" w:before="0" w:line="240"/>
              <w:jc w:val="center"/>
            </w:pPr>
            <w:r>
              <w:rPr>
                <w:rFonts w:ascii="Calibri" w:cs="Calibri" w:eastAsia="Calibri" w:hAnsi="Calibri"/>
                <w:b/>
                <w:bCs/>
                <w:color w:val="FFFFFF"/>
                <w:sz w:val="19"/>
                <w:szCs w:val="19"/>
              </w:rPr>
              <w:t xml:space="preserve">Poste (réf. BDQE)</w:t>
            </w:r>
          </w:p>
        </w:tc>
        <w:tc>
          <w:tcPr>
            <w:tcW w:type="dxa" w:w="1248"/>
            <w:shd w:fill="123A4E" w:color="auto" w:val="clear"/>
          </w:tcPr>
          <w:p>
            <w:pPr>
              <w:spacing w:after="0" w:before="0" w:line="240"/>
              <w:jc w:val="center"/>
            </w:pPr>
            <w:r>
              <w:rPr>
                <w:rFonts w:ascii="Calibri" w:cs="Calibri" w:eastAsia="Calibri" w:hAnsi="Calibri"/>
                <w:b/>
                <w:bCs/>
                <w:color w:val="FFFFFF"/>
                <w:sz w:val="19"/>
                <w:szCs w:val="19"/>
              </w:rPr>
              <w:t xml:space="preserve">Prévu BDQE</w:t>
            </w:r>
          </w:p>
        </w:tc>
        <w:tc>
          <w:tcPr>
            <w:tcW w:type="dxa" w:w="1074"/>
            <w:shd w:fill="123A4E" w:color="auto" w:val="clear"/>
          </w:tcPr>
          <w:p>
            <w:pPr>
              <w:spacing w:after="0" w:before="0" w:line="240"/>
              <w:jc w:val="center"/>
            </w:pPr>
            <w:r>
              <w:rPr>
                <w:rFonts w:ascii="Calibri" w:cs="Calibri" w:eastAsia="Calibri" w:hAnsi="Calibri"/>
                <w:b/>
                <w:bCs/>
                <w:color w:val="FFFFFF"/>
                <w:sz w:val="19"/>
                <w:szCs w:val="19"/>
              </w:rPr>
              <w:t xml:space="preserve">Réalisé</w:t>
            </w:r>
          </w:p>
        </w:tc>
        <w:tc>
          <w:tcPr>
            <w:tcW w:type="dxa" w:w="1078"/>
            <w:shd w:fill="123A4E" w:color="auto" w:val="clear"/>
          </w:tcPr>
          <w:p>
            <w:pPr>
              <w:spacing w:after="0" w:before="0" w:line="240"/>
              <w:jc w:val="center"/>
            </w:pPr>
            <w:r>
              <w:rPr>
                <w:rFonts w:ascii="Calibri" w:cs="Calibri" w:eastAsia="Calibri" w:hAnsi="Calibri"/>
                <w:b/>
                <w:bCs/>
                <w:color w:val="FFFFFF"/>
                <w:sz w:val="19"/>
                <w:szCs w:val="19"/>
              </w:rPr>
              <w:t xml:space="preserve">Écart</w:t>
            </w:r>
          </w:p>
        </w:tc>
        <w:tc>
          <w:tcPr>
            <w:tcW w:type="dxa" w:w="1136"/>
            <w:shd w:fill="123A4E" w:color="auto" w:val="clear"/>
          </w:tcPr>
          <w:p>
            <w:pPr>
              <w:spacing w:after="0" w:before="0" w:line="240"/>
              <w:jc w:val="center"/>
            </w:pPr>
            <w:r>
              <w:rPr>
                <w:rFonts w:ascii="Calibri" w:cs="Calibri" w:eastAsia="Calibri" w:hAnsi="Calibri"/>
                <w:b/>
                <w:bCs/>
                <w:color w:val="FFFFFF"/>
                <w:sz w:val="19"/>
                <w:szCs w:val="19"/>
              </w:rPr>
              <w:t xml:space="preserve">P.U. (Ar)</w:t>
            </w:r>
          </w:p>
        </w:tc>
        <w:tc>
          <w:tcPr>
            <w:tcW w:type="dxa" w:w="1586"/>
            <w:shd w:fill="123A4E" w:color="auto" w:val="clear"/>
          </w:tcPr>
          <w:p>
            <w:pPr>
              <w:spacing w:after="0" w:before="0" w:line="240"/>
              <w:jc w:val="center"/>
            </w:pPr>
            <w:r>
              <w:rPr>
                <w:rFonts w:ascii="Calibri" w:cs="Calibri" w:eastAsia="Calibri" w:hAnsi="Calibri"/>
                <w:b/>
                <w:bCs/>
                <w:color w:val="FFFFFF"/>
                <w:sz w:val="19"/>
                <w:szCs w:val="19"/>
              </w:rPr>
              <w:t xml:space="preserve">Moins-value (Ar)</w:t>
            </w:r>
          </w:p>
        </w:tc>
      </w:tr>
      <w:tr>
        <w:trPr>
          <w:cantSplit/>
        </w:trPr>
        <w:tc>
          <w:tcPr>
            <w:tcW w:type="dxa" w:w="3624"/>
          </w:tcPr>
          <w:p>
            <w:pPr>
              <w:spacing w:after="0" w:before="0" w:line="240"/>
              <w:jc w:val="left"/>
            </w:pPr>
            <w:r>
              <w:rPr>
                <w:rFonts w:ascii="Calibri" w:cs="Calibri" w:eastAsia="Calibri" w:hAnsi="Calibri"/>
                <w:color w:val="24333B"/>
                <w:sz w:val="19"/>
                <w:szCs w:val="19"/>
              </w:rPr>
              <w:t xml:space="preserve">Faïence murale 20 × 30 cm — vestiaires (VEST 8.9)</w:t>
            </w:r>
          </w:p>
        </w:tc>
        <w:tc>
          <w:tcPr>
            <w:tcW w:type="dxa" w:w="1248"/>
          </w:tcPr>
          <w:p>
            <w:pPr>
              <w:spacing w:after="0" w:before="0" w:line="240"/>
              <w:jc w:val="right"/>
            </w:pPr>
            <w:r>
              <w:rPr>
                <w:rFonts w:ascii="Calibri" w:cs="Calibri" w:eastAsia="Calibri" w:hAnsi="Calibri"/>
                <w:color w:val="24333B"/>
                <w:sz w:val="19"/>
                <w:szCs w:val="19"/>
              </w:rPr>
              <w:t xml:space="preserve">32 m²</w:t>
            </w:r>
          </w:p>
        </w:tc>
        <w:tc>
          <w:tcPr>
            <w:tcW w:type="dxa" w:w="1074"/>
          </w:tcPr>
          <w:p>
            <w:pPr>
              <w:spacing w:after="0" w:before="0" w:line="240"/>
              <w:jc w:val="right"/>
            </w:pPr>
            <w:r>
              <w:rPr>
                <w:rFonts w:ascii="Calibri" w:cs="Calibri" w:eastAsia="Calibri" w:hAnsi="Calibri"/>
                <w:color w:val="24333B"/>
                <w:sz w:val="19"/>
                <w:szCs w:val="19"/>
              </w:rPr>
              <w:t xml:space="preserve">15 m²</w:t>
            </w:r>
          </w:p>
        </w:tc>
        <w:tc>
          <w:tcPr>
            <w:tcW w:type="dxa" w:w="1078"/>
          </w:tcPr>
          <w:p>
            <w:pPr>
              <w:spacing w:after="0" w:before="0" w:line="240"/>
              <w:jc w:val="right"/>
            </w:pPr>
            <w:r>
              <w:rPr>
                <w:rFonts w:ascii="Calibri" w:cs="Calibri" w:eastAsia="Calibri" w:hAnsi="Calibri"/>
                <w:color w:val="24333B"/>
                <w:sz w:val="19"/>
                <w:szCs w:val="19"/>
              </w:rPr>
              <w:t xml:space="preserve">− 17 m²</w:t>
            </w:r>
          </w:p>
        </w:tc>
        <w:tc>
          <w:tcPr>
            <w:tcW w:type="dxa" w:w="1136"/>
          </w:tcPr>
          <w:p>
            <w:pPr>
              <w:spacing w:after="0" w:before="0" w:line="240"/>
              <w:jc w:val="right"/>
            </w:pPr>
            <w:r>
              <w:rPr>
                <w:rFonts w:ascii="Calibri" w:cs="Calibri" w:eastAsia="Calibri" w:hAnsi="Calibri"/>
                <w:color w:val="24333B"/>
                <w:sz w:val="19"/>
                <w:szCs w:val="19"/>
              </w:rPr>
              <w:t xml:space="preserve">77 000</w:t>
            </w:r>
          </w:p>
        </w:tc>
        <w:tc>
          <w:tcPr>
            <w:tcW w:type="dxa" w:w="1586"/>
          </w:tcPr>
          <w:p>
            <w:pPr>
              <w:spacing w:after="0" w:before="0" w:line="240"/>
              <w:jc w:val="right"/>
            </w:pPr>
            <w:r>
              <w:rPr>
                <w:rFonts w:ascii="Calibri" w:cs="Calibri" w:eastAsia="Calibri" w:hAnsi="Calibri"/>
                <w:color w:val="24333B"/>
                <w:sz w:val="19"/>
                <w:szCs w:val="19"/>
              </w:rPr>
              <w:t xml:space="preserve">− 1 309 000</w:t>
            </w:r>
          </w:p>
        </w:tc>
      </w:tr>
      <w:tr>
        <w:trPr>
          <w:cantSplit/>
        </w:trPr>
        <w:tc>
          <w:tcPr>
            <w:tcW w:type="dxa" w:w="3624"/>
            <w:shd w:fill="DCEAF0" w:color="auto" w:val="clear"/>
          </w:tcPr>
          <w:p>
            <w:pPr>
              <w:spacing w:after="0" w:before="0" w:line="240"/>
              <w:jc w:val="left"/>
            </w:pPr>
            <w:r>
              <w:rPr>
                <w:rFonts w:ascii="Calibri" w:cs="Calibri" w:eastAsia="Calibri" w:hAnsi="Calibri"/>
                <w:b/>
                <w:bCs/>
                <w:color w:val="123A4E"/>
                <w:sz w:val="19"/>
                <w:szCs w:val="19"/>
              </w:rPr>
              <w:t xml:space="preserve">TOTAL MOINS-VALUE</w:t>
            </w:r>
          </w:p>
        </w:tc>
        <w:tc>
          <w:tcPr>
            <w:tcW w:type="dxa" w:w="1248"/>
            <w:shd w:fill="DCEAF0" w:color="auto" w:val="clear"/>
          </w:tcPr>
          <w:p>
            <w:pPr>
              <w:spacing w:after="0" w:before="0" w:line="240"/>
              <w:jc w:val="left"/>
            </w:pPr>
            <w:r>
              <w:rPr>
                <w:rFonts w:ascii="Calibri" w:cs="Calibri" w:eastAsia="Calibri" w:hAnsi="Calibri"/>
                <w:color w:val="24333B"/>
                <w:sz w:val="19"/>
                <w:szCs w:val="19"/>
              </w:rPr>
              <w:t xml:space="preserve"/>
            </w:r>
          </w:p>
        </w:tc>
        <w:tc>
          <w:tcPr>
            <w:tcW w:type="dxa" w:w="1074"/>
            <w:shd w:fill="DCEAF0" w:color="auto" w:val="clear"/>
          </w:tcPr>
          <w:p>
            <w:pPr>
              <w:spacing w:after="0" w:before="0" w:line="240"/>
              <w:jc w:val="left"/>
            </w:pPr>
            <w:r>
              <w:rPr>
                <w:rFonts w:ascii="Calibri" w:cs="Calibri" w:eastAsia="Calibri" w:hAnsi="Calibri"/>
                <w:color w:val="24333B"/>
                <w:sz w:val="19"/>
                <w:szCs w:val="19"/>
              </w:rPr>
              <w:t xml:space="preserve"/>
            </w:r>
          </w:p>
        </w:tc>
        <w:tc>
          <w:tcPr>
            <w:tcW w:type="dxa" w:w="1078"/>
            <w:shd w:fill="DCEAF0" w:color="auto" w:val="clear"/>
          </w:tcPr>
          <w:p>
            <w:pPr>
              <w:spacing w:after="0" w:before="0" w:line="240"/>
              <w:jc w:val="left"/>
            </w:pPr>
            <w:r>
              <w:rPr>
                <w:rFonts w:ascii="Calibri" w:cs="Calibri" w:eastAsia="Calibri" w:hAnsi="Calibri"/>
                <w:color w:val="24333B"/>
                <w:sz w:val="19"/>
                <w:szCs w:val="19"/>
              </w:rPr>
              <w:t xml:space="preserve"/>
            </w:r>
          </w:p>
        </w:tc>
        <w:tc>
          <w:tcPr>
            <w:tcW w:type="dxa" w:w="1136"/>
            <w:shd w:fill="DCEAF0" w:color="auto" w:val="clear"/>
          </w:tcPr>
          <w:p>
            <w:pPr>
              <w:spacing w:after="0" w:before="0" w:line="240"/>
              <w:jc w:val="left"/>
            </w:pPr>
            <w:r>
              <w:rPr>
                <w:rFonts w:ascii="Calibri" w:cs="Calibri" w:eastAsia="Calibri" w:hAnsi="Calibri"/>
                <w:color w:val="24333B"/>
                <w:sz w:val="19"/>
                <w:szCs w:val="19"/>
              </w:rPr>
              <w:t xml:space="preserve"/>
            </w:r>
          </w:p>
        </w:tc>
        <w:tc>
          <w:tcPr>
            <w:tcW w:type="dxa" w:w="1586"/>
            <w:shd w:fill="DCEAF0" w:color="auto" w:val="clear"/>
          </w:tcPr>
          <w:p>
            <w:pPr>
              <w:spacing w:after="0" w:before="0" w:line="240"/>
              <w:jc w:val="right"/>
            </w:pPr>
            <w:r>
              <w:rPr>
                <w:rFonts w:ascii="Calibri" w:cs="Calibri" w:eastAsia="Calibri" w:hAnsi="Calibri"/>
                <w:b/>
                <w:bCs/>
                <w:color w:val="123A4E"/>
                <w:sz w:val="19"/>
                <w:szCs w:val="19"/>
              </w:rPr>
              <w:t xml:space="preserve">− 1 309 000</w:t>
            </w:r>
          </w:p>
        </w:tc>
      </w:tr>
    </w:tbl>
    <w:p>
      <w:pPr>
        <w:pBdr>
          <w:bottom w:val="single" w:color="2E9CA6" w:sz="8" w:space="3"/>
        </w:pBdr>
        <w:spacing w:after="80" w:before="270" w:line="259"/>
        <w:ind w:left="340" w:hanging="340"/>
      </w:pPr>
      <w:r>
        <w:rPr>
          <w:rFonts w:ascii="Calibri" w:cs="Calibri" w:eastAsia="Calibri" w:hAnsi="Calibri"/>
          <w:b/>
          <w:bCs/>
          <w:color w:val="123A4E"/>
          <w:sz w:val="28"/>
          <w:szCs w:val="28"/>
        </w:rPr>
        <w:t xml:space="preserve">2.</w:t>
        <w:tab/>
        <w:t xml:space="preserve">CE QUI A ÉTÉ RÉALISÉ EN PLUS, SANS FACTURATION (PLUS-VALUES)</w:t>
      </w:r>
    </w:p>
    <w:p>
      <w:pPr>
        <w:spacing w:after="60" w:before="240" w:line="259"/>
        <w:ind w:left="320" w:hanging="320"/>
      </w:pPr>
      <w:r>
        <w:rPr>
          <w:rFonts w:ascii="Calibri" w:cs="Calibri" w:eastAsia="Calibri" w:hAnsi="Calibri"/>
          <w:b/>
          <w:bCs/>
          <w:color w:val="1F6F8B"/>
          <w:sz w:val="24"/>
          <w:szCs w:val="24"/>
        </w:rPr>
        <w:t xml:space="preserve">A.</w:t>
        <w:tab/>
        <w:t xml:space="preserve">Terrain : 519 m² réalisés au lieu de 420 m² prévus (+ 99 m², soit + 23,6 %)</w:t>
      </w:r>
    </w:p>
    <w:p>
      <w:pPr>
        <w:spacing w:after="100" w:before="0" w:line="259"/>
        <w:jc w:val="both"/>
      </w:pPr>
      <w:r>
        <w:rPr>
          <w:rFonts w:ascii="Calibri" w:cs="Calibri" w:eastAsia="Calibri" w:hAnsi="Calibri"/>
          <w:color w:val="24333B"/>
          <w:sz w:val="19"/>
          <w:szCs w:val="19"/>
        </w:rPr>
        <w:t xml:space="preserve">Le BDQE quantifie la plate-forme sur la seule aire de jeu de 28 × 15 m = 420 m² (postes TMS 1.1 à 1.3, « Concerne : plate-forme 420 m² »), sans marge de dégagement autour de l'aire de jeu. L'ECAE a réalisé la plate-forme élargie de ses marges de sécurité sur tout le pourtour, soit 519 m² mesurés sur site à la réception. Le supplément de 99 m² est valorisé aux prix unitaires du BDQE pour les trois postes de la plate-forme :</w:t>
      </w:r>
    </w:p>
    <w:tbl>
      <w:tblPr>
        <w:tblW w:type="dxa" w:w="9746"/>
        <w:tblBorders>
          <w:top w:val="single" w:color="C9D8DF" w:sz="4"/>
          <w:left w:val="single" w:color="C9D8DF" w:sz="4"/>
          <w:bottom w:val="single" w:color="C9D8DF" w:sz="4"/>
          <w:right w:val="single" w:color="C9D8DF" w:sz="4"/>
          <w:insideH w:val="single" w:color="C9D8DF" w:sz="4"/>
          <w:insideV w:val="single" w:color="C9D8DF" w:sz="4"/>
        </w:tblBorders>
        <w:tblCellMar>
          <w:top w:type="dxa" w:w="30"/>
          <w:left w:type="dxa" w:w="108"/>
          <w:bottom w:type="dxa" w:w="30"/>
          <w:right w:type="dxa" w:w="108"/>
        </w:tblCellMar>
      </w:tblPr>
      <w:tblGrid>
        <w:gridCol w:w="4078"/>
        <w:gridCol w:w="1814"/>
        <w:gridCol w:w="1020"/>
        <w:gridCol w:w="1132"/>
        <w:gridCol w:w="1702"/>
      </w:tblGrid>
      <w:tr>
        <w:trPr>
          <w:cantSplit/>
          <w:tblHeader w:val="false"/>
        </w:trPr>
        <w:tc>
          <w:tcPr>
            <w:tcW w:type="dxa" w:w="4078"/>
            <w:shd w:fill="123A4E" w:color="auto" w:val="clear"/>
          </w:tcPr>
          <w:p>
            <w:pPr>
              <w:spacing w:after="0" w:before="0" w:line="240"/>
              <w:jc w:val="center"/>
            </w:pPr>
            <w:r>
              <w:rPr>
                <w:rFonts w:ascii="Calibri" w:cs="Calibri" w:eastAsia="Calibri" w:hAnsi="Calibri"/>
                <w:b/>
                <w:bCs/>
                <w:color w:val="FFFFFF"/>
                <w:sz w:val="19"/>
                <w:szCs w:val="19"/>
              </w:rPr>
              <w:t xml:space="preserve">Poste BDQE (plate-forme)</w:t>
            </w:r>
          </w:p>
        </w:tc>
        <w:tc>
          <w:tcPr>
            <w:tcW w:type="dxa" w:w="1814"/>
            <w:shd w:fill="123A4E" w:color="auto" w:val="clear"/>
          </w:tcPr>
          <w:p>
            <w:pPr>
              <w:spacing w:after="0" w:before="0" w:line="240"/>
              <w:jc w:val="center"/>
            </w:pPr>
            <w:r>
              <w:rPr>
                <w:rFonts w:ascii="Calibri" w:cs="Calibri" w:eastAsia="Calibri" w:hAnsi="Calibri"/>
                <w:b/>
                <w:bCs/>
                <w:color w:val="FFFFFF"/>
                <w:sz w:val="19"/>
                <w:szCs w:val="19"/>
              </w:rPr>
              <w:t xml:space="preserve">Supplément</w:t>
            </w:r>
          </w:p>
        </w:tc>
        <w:tc>
          <w:tcPr>
            <w:tcW w:type="dxa" w:w="1020"/>
            <w:shd w:fill="123A4E" w:color="auto" w:val="clear"/>
          </w:tcPr>
          <w:p>
            <w:pPr>
              <w:spacing w:after="0" w:before="0" w:line="240"/>
              <w:jc w:val="center"/>
            </w:pPr>
            <w:r>
              <w:rPr>
                <w:rFonts w:ascii="Calibri" w:cs="Calibri" w:eastAsia="Calibri" w:hAnsi="Calibri"/>
                <w:b/>
                <w:bCs/>
                <w:color w:val="FFFFFF"/>
                <w:sz w:val="19"/>
                <w:szCs w:val="19"/>
              </w:rPr>
              <w:t xml:space="preserve">Quantité</w:t>
            </w:r>
          </w:p>
        </w:tc>
        <w:tc>
          <w:tcPr>
            <w:tcW w:type="dxa" w:w="1132"/>
            <w:shd w:fill="123A4E" w:color="auto" w:val="clear"/>
          </w:tcPr>
          <w:p>
            <w:pPr>
              <w:spacing w:after="0" w:before="0" w:line="240"/>
              <w:jc w:val="center"/>
            </w:pPr>
            <w:r>
              <w:rPr>
                <w:rFonts w:ascii="Calibri" w:cs="Calibri" w:eastAsia="Calibri" w:hAnsi="Calibri"/>
                <w:b/>
                <w:bCs/>
                <w:color w:val="FFFFFF"/>
                <w:sz w:val="19"/>
                <w:szCs w:val="19"/>
              </w:rPr>
              <w:t xml:space="preserve">P.U. (Ar)</w:t>
            </w:r>
          </w:p>
        </w:tc>
        <w:tc>
          <w:tcPr>
            <w:tcW w:type="dxa" w:w="1702"/>
            <w:shd w:fill="123A4E" w:color="auto" w:val="clear"/>
          </w:tcPr>
          <w:p>
            <w:pPr>
              <w:spacing w:after="0" w:before="0" w:line="240"/>
              <w:jc w:val="center"/>
            </w:pPr>
            <w:r>
              <w:rPr>
                <w:rFonts w:ascii="Calibri" w:cs="Calibri" w:eastAsia="Calibri" w:hAnsi="Calibri"/>
                <w:b/>
                <w:bCs/>
                <w:color w:val="FFFFFF"/>
                <w:sz w:val="19"/>
                <w:szCs w:val="19"/>
              </w:rPr>
              <w:t xml:space="preserve">Plus-value (Ar)</w:t>
            </w:r>
          </w:p>
        </w:tc>
      </w:tr>
      <w:tr>
        <w:trPr>
          <w:cantSplit/>
        </w:trPr>
        <w:tc>
          <w:tcPr>
            <w:tcW w:type="dxa" w:w="4078"/>
          </w:tcPr>
          <w:p>
            <w:pPr>
              <w:spacing w:after="0" w:before="0" w:line="240"/>
              <w:jc w:val="left"/>
            </w:pPr>
            <w:r>
              <w:rPr>
                <w:rFonts w:ascii="Calibri" w:cs="Calibri" w:eastAsia="Calibri" w:hAnsi="Calibri"/>
                <w:color w:val="24333B"/>
                <w:sz w:val="19"/>
                <w:szCs w:val="19"/>
              </w:rPr>
              <w:t xml:space="preserve">TMS 1.1 — Béton de propreté 150 kg, ép. 5 cm</w:t>
            </w:r>
          </w:p>
        </w:tc>
        <w:tc>
          <w:tcPr>
            <w:tcW w:type="dxa" w:w="1814"/>
          </w:tcPr>
          <w:p>
            <w:pPr>
              <w:spacing w:after="0" w:before="0" w:line="240"/>
              <w:jc w:val="right"/>
            </w:pPr>
            <w:r>
              <w:rPr>
                <w:rFonts w:ascii="Calibri" w:cs="Calibri" w:eastAsia="Calibri" w:hAnsi="Calibri"/>
                <w:color w:val="24333B"/>
                <w:sz w:val="19"/>
                <w:szCs w:val="19"/>
              </w:rPr>
              <w:t xml:space="preserve">99 m² × 0,05 m</w:t>
            </w:r>
          </w:p>
        </w:tc>
        <w:tc>
          <w:tcPr>
            <w:tcW w:type="dxa" w:w="1020"/>
          </w:tcPr>
          <w:p>
            <w:pPr>
              <w:spacing w:after="0" w:before="0" w:line="240"/>
              <w:jc w:val="right"/>
            </w:pPr>
            <w:r>
              <w:rPr>
                <w:rFonts w:ascii="Calibri" w:cs="Calibri" w:eastAsia="Calibri" w:hAnsi="Calibri"/>
                <w:color w:val="24333B"/>
                <w:sz w:val="19"/>
                <w:szCs w:val="19"/>
              </w:rPr>
              <w:t xml:space="preserve">4,95 m³</w:t>
            </w:r>
          </w:p>
        </w:tc>
        <w:tc>
          <w:tcPr>
            <w:tcW w:type="dxa" w:w="1132"/>
          </w:tcPr>
          <w:p>
            <w:pPr>
              <w:spacing w:after="0" w:before="0" w:line="240"/>
              <w:jc w:val="right"/>
            </w:pPr>
            <w:r>
              <w:rPr>
                <w:rFonts w:ascii="Calibri" w:cs="Calibri" w:eastAsia="Calibri" w:hAnsi="Calibri"/>
                <w:color w:val="24333B"/>
                <w:sz w:val="19"/>
                <w:szCs w:val="19"/>
              </w:rPr>
              <w:t xml:space="preserve">300 000</w:t>
            </w:r>
          </w:p>
        </w:tc>
        <w:tc>
          <w:tcPr>
            <w:tcW w:type="dxa" w:w="1702"/>
          </w:tcPr>
          <w:p>
            <w:pPr>
              <w:spacing w:after="0" w:before="0" w:line="240"/>
              <w:jc w:val="right"/>
            </w:pPr>
            <w:r>
              <w:rPr>
                <w:rFonts w:ascii="Calibri" w:cs="Calibri" w:eastAsia="Calibri" w:hAnsi="Calibri"/>
                <w:color w:val="24333B"/>
                <w:sz w:val="19"/>
                <w:szCs w:val="19"/>
              </w:rPr>
              <w:t xml:space="preserve">1 485 000</w:t>
            </w:r>
          </w:p>
        </w:tc>
      </w:tr>
      <w:tr>
        <w:trPr>
          <w:cantSplit/>
        </w:trPr>
        <w:tc>
          <w:tcPr>
            <w:tcW w:type="dxa" w:w="4078"/>
            <w:shd w:fill="F2F7FA" w:color="auto" w:val="clear"/>
          </w:tcPr>
          <w:p>
            <w:pPr>
              <w:spacing w:after="0" w:before="0" w:line="240"/>
              <w:jc w:val="left"/>
            </w:pPr>
            <w:r>
              <w:rPr>
                <w:rFonts w:ascii="Calibri" w:cs="Calibri" w:eastAsia="Calibri" w:hAnsi="Calibri"/>
                <w:color w:val="24333B"/>
                <w:sz w:val="19"/>
                <w:szCs w:val="19"/>
              </w:rPr>
              <w:t xml:space="preserve">TMS 1.2 — Béton dosé à 350 kg, ép. 8 cm</w:t>
            </w:r>
          </w:p>
        </w:tc>
        <w:tc>
          <w:tcPr>
            <w:tcW w:type="dxa" w:w="1814"/>
            <w:shd w:fill="F2F7FA" w:color="auto" w:val="clear"/>
          </w:tcPr>
          <w:p>
            <w:pPr>
              <w:spacing w:after="0" w:before="0" w:line="240"/>
              <w:jc w:val="right"/>
            </w:pPr>
            <w:r>
              <w:rPr>
                <w:rFonts w:ascii="Calibri" w:cs="Calibri" w:eastAsia="Calibri" w:hAnsi="Calibri"/>
                <w:color w:val="24333B"/>
                <w:sz w:val="19"/>
                <w:szCs w:val="19"/>
              </w:rPr>
              <w:t xml:space="preserve">99 m² × 0,08 m</w:t>
            </w:r>
          </w:p>
        </w:tc>
        <w:tc>
          <w:tcPr>
            <w:tcW w:type="dxa" w:w="1020"/>
            <w:shd w:fill="F2F7FA" w:color="auto" w:val="clear"/>
          </w:tcPr>
          <w:p>
            <w:pPr>
              <w:spacing w:after="0" w:before="0" w:line="240"/>
              <w:jc w:val="right"/>
            </w:pPr>
            <w:r>
              <w:rPr>
                <w:rFonts w:ascii="Calibri" w:cs="Calibri" w:eastAsia="Calibri" w:hAnsi="Calibri"/>
                <w:color w:val="24333B"/>
                <w:sz w:val="19"/>
                <w:szCs w:val="19"/>
              </w:rPr>
              <w:t xml:space="preserve">7,92 m³</w:t>
            </w:r>
          </w:p>
        </w:tc>
        <w:tc>
          <w:tcPr>
            <w:tcW w:type="dxa" w:w="1132"/>
            <w:shd w:fill="F2F7FA" w:color="auto" w:val="clear"/>
          </w:tcPr>
          <w:p>
            <w:pPr>
              <w:spacing w:after="0" w:before="0" w:line="240"/>
              <w:jc w:val="right"/>
            </w:pPr>
            <w:r>
              <w:rPr>
                <w:rFonts w:ascii="Calibri" w:cs="Calibri" w:eastAsia="Calibri" w:hAnsi="Calibri"/>
                <w:color w:val="24333B"/>
                <w:sz w:val="19"/>
                <w:szCs w:val="19"/>
              </w:rPr>
              <w:t xml:space="preserve">590 000</w:t>
            </w:r>
          </w:p>
        </w:tc>
        <w:tc>
          <w:tcPr>
            <w:tcW w:type="dxa" w:w="1702"/>
            <w:shd w:fill="F2F7FA" w:color="auto" w:val="clear"/>
          </w:tcPr>
          <w:p>
            <w:pPr>
              <w:spacing w:after="0" w:before="0" w:line="240"/>
              <w:jc w:val="right"/>
            </w:pPr>
            <w:r>
              <w:rPr>
                <w:rFonts w:ascii="Calibri" w:cs="Calibri" w:eastAsia="Calibri" w:hAnsi="Calibri"/>
                <w:color w:val="24333B"/>
                <w:sz w:val="19"/>
                <w:szCs w:val="19"/>
              </w:rPr>
              <w:t xml:space="preserve">4 672 800</w:t>
            </w:r>
          </w:p>
        </w:tc>
      </w:tr>
      <w:tr>
        <w:trPr>
          <w:cantSplit/>
        </w:trPr>
        <w:tc>
          <w:tcPr>
            <w:tcW w:type="dxa" w:w="4078"/>
          </w:tcPr>
          <w:p>
            <w:pPr>
              <w:spacing w:after="0" w:before="0" w:line="240"/>
              <w:jc w:val="left"/>
            </w:pPr>
            <w:r>
              <w:rPr>
                <w:rFonts w:ascii="Calibri" w:cs="Calibri" w:eastAsia="Calibri" w:hAnsi="Calibri"/>
                <w:color w:val="24333B"/>
                <w:sz w:val="19"/>
                <w:szCs w:val="19"/>
              </w:rPr>
              <w:t xml:space="preserve">TMS 1.3 — Armatures (1 344 kg / 33,6 m³ au BDQE = 40 kg/m³)</w:t>
            </w:r>
          </w:p>
        </w:tc>
        <w:tc>
          <w:tcPr>
            <w:tcW w:type="dxa" w:w="1814"/>
          </w:tcPr>
          <w:p>
            <w:pPr>
              <w:spacing w:after="0" w:before="0" w:line="240"/>
              <w:jc w:val="right"/>
            </w:pPr>
            <w:r>
              <w:rPr>
                <w:rFonts w:ascii="Calibri" w:cs="Calibri" w:eastAsia="Calibri" w:hAnsi="Calibri"/>
                <w:color w:val="24333B"/>
                <w:sz w:val="19"/>
                <w:szCs w:val="19"/>
              </w:rPr>
              <w:t xml:space="preserve">7,92 m³ × 40 kg/m³</w:t>
            </w:r>
          </w:p>
        </w:tc>
        <w:tc>
          <w:tcPr>
            <w:tcW w:type="dxa" w:w="1020"/>
          </w:tcPr>
          <w:p>
            <w:pPr>
              <w:spacing w:after="0" w:before="0" w:line="240"/>
              <w:jc w:val="right"/>
            </w:pPr>
            <w:r>
              <w:rPr>
                <w:rFonts w:ascii="Calibri" w:cs="Calibri" w:eastAsia="Calibri" w:hAnsi="Calibri"/>
                <w:color w:val="24333B"/>
                <w:sz w:val="19"/>
                <w:szCs w:val="19"/>
              </w:rPr>
              <w:t xml:space="preserve">316,8 kg</w:t>
            </w:r>
          </w:p>
        </w:tc>
        <w:tc>
          <w:tcPr>
            <w:tcW w:type="dxa" w:w="1132"/>
          </w:tcPr>
          <w:p>
            <w:pPr>
              <w:spacing w:after="0" w:before="0" w:line="240"/>
              <w:jc w:val="right"/>
            </w:pPr>
            <w:r>
              <w:rPr>
                <w:rFonts w:ascii="Calibri" w:cs="Calibri" w:eastAsia="Calibri" w:hAnsi="Calibri"/>
                <w:color w:val="24333B"/>
                <w:sz w:val="19"/>
                <w:szCs w:val="19"/>
              </w:rPr>
              <w:t xml:space="preserve">12 000</w:t>
            </w:r>
          </w:p>
        </w:tc>
        <w:tc>
          <w:tcPr>
            <w:tcW w:type="dxa" w:w="1702"/>
          </w:tcPr>
          <w:p>
            <w:pPr>
              <w:spacing w:after="0" w:before="0" w:line="240"/>
              <w:jc w:val="right"/>
            </w:pPr>
            <w:r>
              <w:rPr>
                <w:rFonts w:ascii="Calibri" w:cs="Calibri" w:eastAsia="Calibri" w:hAnsi="Calibri"/>
                <w:color w:val="24333B"/>
                <w:sz w:val="19"/>
                <w:szCs w:val="19"/>
              </w:rPr>
              <w:t xml:space="preserve">3 801 600</w:t>
            </w:r>
          </w:p>
        </w:tc>
      </w:tr>
      <w:tr>
        <w:trPr>
          <w:cantSplit/>
        </w:trPr>
        <w:tc>
          <w:tcPr>
            <w:tcW w:type="dxa" w:w="4078"/>
            <w:shd w:fill="DCEAF0" w:color="auto" w:val="clear"/>
          </w:tcPr>
          <w:p>
            <w:pPr>
              <w:spacing w:after="0" w:before="0" w:line="240"/>
              <w:jc w:val="left"/>
            </w:pPr>
            <w:r>
              <w:rPr>
                <w:rFonts w:ascii="Calibri" w:cs="Calibri" w:eastAsia="Calibri" w:hAnsi="Calibri"/>
                <w:b/>
                <w:bCs/>
                <w:color w:val="123A4E"/>
                <w:sz w:val="19"/>
                <w:szCs w:val="19"/>
              </w:rPr>
              <w:t xml:space="preserve">SOUS-TOTAL A — TERRAIN</w:t>
            </w:r>
          </w:p>
        </w:tc>
        <w:tc>
          <w:tcPr>
            <w:tcW w:type="dxa" w:w="1814"/>
            <w:shd w:fill="DCEAF0" w:color="auto" w:val="clear"/>
          </w:tcPr>
          <w:p>
            <w:pPr>
              <w:spacing w:after="0" w:before="0" w:line="240"/>
              <w:jc w:val="left"/>
            </w:pPr>
            <w:r>
              <w:rPr>
                <w:rFonts w:ascii="Calibri" w:cs="Calibri" w:eastAsia="Calibri" w:hAnsi="Calibri"/>
                <w:color w:val="24333B"/>
                <w:sz w:val="19"/>
                <w:szCs w:val="19"/>
              </w:rPr>
              <w:t xml:space="preserve"/>
            </w:r>
          </w:p>
        </w:tc>
        <w:tc>
          <w:tcPr>
            <w:tcW w:type="dxa" w:w="1020"/>
            <w:shd w:fill="DCEAF0" w:color="auto" w:val="clear"/>
          </w:tcPr>
          <w:p>
            <w:pPr>
              <w:spacing w:after="0" w:before="0" w:line="240"/>
              <w:jc w:val="left"/>
            </w:pPr>
            <w:r>
              <w:rPr>
                <w:rFonts w:ascii="Calibri" w:cs="Calibri" w:eastAsia="Calibri" w:hAnsi="Calibri"/>
                <w:color w:val="24333B"/>
                <w:sz w:val="19"/>
                <w:szCs w:val="19"/>
              </w:rPr>
              <w:t xml:space="preserve"/>
            </w:r>
          </w:p>
        </w:tc>
        <w:tc>
          <w:tcPr>
            <w:tcW w:type="dxa" w:w="1132"/>
            <w:shd w:fill="DCEAF0" w:color="auto" w:val="clear"/>
          </w:tcPr>
          <w:p>
            <w:pPr>
              <w:spacing w:after="0" w:before="0" w:line="240"/>
              <w:jc w:val="left"/>
            </w:pPr>
            <w:r>
              <w:rPr>
                <w:rFonts w:ascii="Calibri" w:cs="Calibri" w:eastAsia="Calibri" w:hAnsi="Calibri"/>
                <w:color w:val="24333B"/>
                <w:sz w:val="19"/>
                <w:szCs w:val="19"/>
              </w:rPr>
              <w:t xml:space="preserve"/>
            </w:r>
          </w:p>
        </w:tc>
        <w:tc>
          <w:tcPr>
            <w:tcW w:type="dxa" w:w="1702"/>
            <w:shd w:fill="DCEAF0" w:color="auto" w:val="clear"/>
          </w:tcPr>
          <w:p>
            <w:pPr>
              <w:spacing w:after="0" w:before="0" w:line="240"/>
              <w:jc w:val="right"/>
            </w:pPr>
            <w:r>
              <w:rPr>
                <w:rFonts w:ascii="Calibri" w:cs="Calibri" w:eastAsia="Calibri" w:hAnsi="Calibri"/>
                <w:b/>
                <w:bCs/>
                <w:color w:val="123A4E"/>
                <w:sz w:val="19"/>
                <w:szCs w:val="19"/>
              </w:rPr>
              <w:t xml:space="preserve">9 959 400</w:t>
            </w:r>
          </w:p>
        </w:tc>
      </w:tr>
    </w:tbl>
    <w:p>
      <w:pPr>
        <w:spacing w:after="0" w:before="20" w:line="259"/>
        <w:jc w:val="left"/>
      </w:pPr>
      <w:r>
        <w:rPr>
          <w:rFonts w:ascii="Calibri" w:cs="Calibri" w:eastAsia="Calibri" w:hAnsi="Calibri"/>
          <w:i/>
          <w:iCs/>
          <w:color w:val="24333B"/>
          <w:sz w:val="17"/>
          <w:szCs w:val="17"/>
        </w:rPr>
        <w:t xml:space="preserve">Méthode : quantités du supplément calculées comme au BDQE (ép. 0,05 m et 0,08 m ; acier 40 kg/m³), au prorata de la surface.</w:t>
      </w:r>
    </w:p>
    <w:p>
      <w:pPr>
        <w:spacing w:after="60" w:before="240" w:line="259"/>
        <w:ind w:left="320" w:hanging="320"/>
      </w:pPr>
      <w:r>
        <w:rPr>
          <w:rFonts w:ascii="Calibri" w:cs="Calibri" w:eastAsia="Calibri" w:hAnsi="Calibri"/>
          <w:b/>
          <w:bCs/>
          <w:color w:val="1F6F8B"/>
          <w:sz w:val="24"/>
          <w:szCs w:val="24"/>
        </w:rPr>
        <w:t xml:space="preserve">B.</w:t>
        <w:tab/>
        <w:t xml:space="preserve">Couche de fondation en caillasse sous le béton (poste absent du BDQE)</w:t>
      </w:r>
    </w:p>
    <w:p>
      <w:pPr>
        <w:spacing w:after="100" w:before="0" w:line="259"/>
        <w:jc w:val="both"/>
      </w:pPr>
      <w:r>
        <w:rPr>
          <w:rFonts w:ascii="Calibri" w:cs="Calibri" w:eastAsia="Calibri" w:hAnsi="Calibri"/>
          <w:color w:val="24333B"/>
          <w:sz w:val="19"/>
          <w:szCs w:val="19"/>
        </w:rPr>
        <w:t xml:space="preserve">Le BDQE fait reposer la dalle (béton de propreté puis béton armé) directement sur le sol naturel, sans couche de fondation. Le sol latéritique du site, de faible portance, ne le permettait pas : l'ECAE a mis en œuvre sur toute la surface réelle une couche de caillasse 0/31,5 de 10 cm compactée à 95 % OPM (structure multicouche de la note de calcul NDC-TMS-ANT-2026 Rév. 05 ; quantités établies sur la surface mesurée), indispensable au drainage et à la portance. Ce poste, absent du BDQE, n'a pas été facturé ; il est valorisé à titre estimatif à 13 000 Ar/m² TTC (fourniture, transport, réglage, compactage).</w:t>
      </w:r>
    </w:p>
    <w:tbl>
      <w:tblPr>
        <w:tblW w:type="dxa" w:w="9746"/>
        <w:tblBorders>
          <w:top w:val="single" w:color="C9D8DF" w:sz="4"/>
          <w:left w:val="single" w:color="C9D8DF" w:sz="4"/>
          <w:bottom w:val="single" w:color="C9D8DF" w:sz="4"/>
          <w:right w:val="single" w:color="C9D8DF" w:sz="4"/>
          <w:insideH w:val="single" w:color="C9D8DF" w:sz="4"/>
          <w:insideV w:val="single" w:color="C9D8DF" w:sz="4"/>
        </w:tblBorders>
        <w:tblCellMar>
          <w:top w:type="dxa" w:w="30"/>
          <w:left w:type="dxa" w:w="108"/>
          <w:bottom w:type="dxa" w:w="30"/>
          <w:right w:type="dxa" w:w="108"/>
        </w:tblCellMar>
      </w:tblPr>
      <w:tblGrid>
        <w:gridCol w:w="4530"/>
        <w:gridCol w:w="1928"/>
        <w:gridCol w:w="1360"/>
        <w:gridCol w:w="1928"/>
      </w:tblGrid>
      <w:tr>
        <w:trPr>
          <w:cantSplit/>
          <w:tblHeader w:val="false"/>
        </w:trPr>
        <w:tc>
          <w:tcPr>
            <w:tcW w:type="dxa" w:w="4530"/>
            <w:shd w:fill="123A4E" w:color="auto" w:val="clear"/>
          </w:tcPr>
          <w:p>
            <w:pPr>
              <w:spacing w:after="0" w:before="0" w:line="240"/>
              <w:jc w:val="center"/>
            </w:pPr>
            <w:r>
              <w:rPr>
                <w:rFonts w:ascii="Calibri" w:cs="Calibri" w:eastAsia="Calibri" w:hAnsi="Calibri"/>
                <w:b/>
                <w:bCs/>
                <w:color w:val="FFFFFF"/>
                <w:sz w:val="19"/>
                <w:szCs w:val="19"/>
              </w:rPr>
              <w:t xml:space="preserve">Poste hors BDQE</w:t>
            </w:r>
          </w:p>
        </w:tc>
        <w:tc>
          <w:tcPr>
            <w:tcW w:type="dxa" w:w="1928"/>
            <w:shd w:fill="123A4E" w:color="auto" w:val="clear"/>
          </w:tcPr>
          <w:p>
            <w:pPr>
              <w:spacing w:after="0" w:before="0" w:line="240"/>
              <w:jc w:val="center"/>
            </w:pPr>
            <w:r>
              <w:rPr>
                <w:rFonts w:ascii="Calibri" w:cs="Calibri" w:eastAsia="Calibri" w:hAnsi="Calibri"/>
                <w:b/>
                <w:bCs/>
                <w:color w:val="FFFFFF"/>
                <w:sz w:val="19"/>
                <w:szCs w:val="19"/>
              </w:rPr>
              <w:t xml:space="preserve">Surface réelle mesurée</w:t>
            </w:r>
          </w:p>
        </w:tc>
        <w:tc>
          <w:tcPr>
            <w:tcW w:type="dxa" w:w="1360"/>
            <w:shd w:fill="123A4E" w:color="auto" w:val="clear"/>
          </w:tcPr>
          <w:p>
            <w:pPr>
              <w:spacing w:after="0" w:before="0" w:line="240"/>
              <w:jc w:val="center"/>
            </w:pPr>
            <w:r>
              <w:rPr>
                <w:rFonts w:ascii="Calibri" w:cs="Calibri" w:eastAsia="Calibri" w:hAnsi="Calibri"/>
                <w:b/>
                <w:bCs/>
                <w:color w:val="FFFFFF"/>
                <w:sz w:val="19"/>
                <w:szCs w:val="19"/>
              </w:rPr>
              <w:t xml:space="preserve">P.U. (Ar/m²)</w:t>
            </w:r>
          </w:p>
        </w:tc>
        <w:tc>
          <w:tcPr>
            <w:tcW w:type="dxa" w:w="1928"/>
            <w:shd w:fill="123A4E" w:color="auto" w:val="clear"/>
          </w:tcPr>
          <w:p>
            <w:pPr>
              <w:spacing w:after="0" w:before="0" w:line="240"/>
              <w:jc w:val="center"/>
            </w:pPr>
            <w:r>
              <w:rPr>
                <w:rFonts w:ascii="Calibri" w:cs="Calibri" w:eastAsia="Calibri" w:hAnsi="Calibri"/>
                <w:b/>
                <w:bCs/>
                <w:color w:val="FFFFFF"/>
                <w:sz w:val="19"/>
                <w:szCs w:val="19"/>
              </w:rPr>
              <w:t xml:space="preserve">Plus-value (Ar)</w:t>
            </w:r>
          </w:p>
        </w:tc>
      </w:tr>
      <w:tr>
        <w:trPr>
          <w:cantSplit/>
        </w:trPr>
        <w:tc>
          <w:tcPr>
            <w:tcW w:type="dxa" w:w="4530"/>
          </w:tcPr>
          <w:p>
            <w:pPr>
              <w:spacing w:after="0" w:before="0" w:line="240"/>
              <w:jc w:val="left"/>
            </w:pPr>
            <w:r>
              <w:rPr>
                <w:rFonts w:ascii="Calibri" w:cs="Calibri" w:eastAsia="Calibri" w:hAnsi="Calibri"/>
                <w:color w:val="24333B"/>
                <w:sz w:val="19"/>
                <w:szCs w:val="19"/>
              </w:rPr>
              <w:t xml:space="preserve">Caillasse 0/31,5, ép. 10 cm, compactée (fourniture et mise en œuvre)</w:t>
            </w:r>
          </w:p>
        </w:tc>
        <w:tc>
          <w:tcPr>
            <w:tcW w:type="dxa" w:w="1928"/>
          </w:tcPr>
          <w:p>
            <w:pPr>
              <w:spacing w:after="0" w:before="0" w:line="240"/>
              <w:jc w:val="right"/>
            </w:pPr>
            <w:r>
              <w:rPr>
                <w:rFonts w:ascii="Calibri" w:cs="Calibri" w:eastAsia="Calibri" w:hAnsi="Calibri"/>
                <w:color w:val="24333B"/>
                <w:sz w:val="19"/>
                <w:szCs w:val="19"/>
              </w:rPr>
              <w:t xml:space="preserve">519 m²</w:t>
            </w:r>
          </w:p>
        </w:tc>
        <w:tc>
          <w:tcPr>
            <w:tcW w:type="dxa" w:w="1360"/>
          </w:tcPr>
          <w:p>
            <w:pPr>
              <w:spacing w:after="0" w:before="0" w:line="240"/>
              <w:jc w:val="right"/>
            </w:pPr>
            <w:r>
              <w:rPr>
                <w:rFonts w:ascii="Calibri" w:cs="Calibri" w:eastAsia="Calibri" w:hAnsi="Calibri"/>
                <w:color w:val="24333B"/>
                <w:sz w:val="19"/>
                <w:szCs w:val="19"/>
              </w:rPr>
              <w:t xml:space="preserve">13 000</w:t>
            </w:r>
          </w:p>
        </w:tc>
        <w:tc>
          <w:tcPr>
            <w:tcW w:type="dxa" w:w="1928"/>
          </w:tcPr>
          <w:p>
            <w:pPr>
              <w:spacing w:after="0" w:before="0" w:line="240"/>
              <w:jc w:val="right"/>
            </w:pPr>
            <w:r>
              <w:rPr>
                <w:rFonts w:ascii="Calibri" w:cs="Calibri" w:eastAsia="Calibri" w:hAnsi="Calibri"/>
                <w:color w:val="24333B"/>
                <w:sz w:val="19"/>
                <w:szCs w:val="19"/>
              </w:rPr>
              <w:t xml:space="preserve">6 747 000</w:t>
            </w:r>
          </w:p>
        </w:tc>
      </w:tr>
      <w:tr>
        <w:trPr>
          <w:cantSplit/>
        </w:trPr>
        <w:tc>
          <w:tcPr>
            <w:tcW w:type="dxa" w:w="4530"/>
            <w:shd w:fill="DCEAF0" w:color="auto" w:val="clear"/>
          </w:tcPr>
          <w:p>
            <w:pPr>
              <w:spacing w:after="0" w:before="0" w:line="240"/>
              <w:jc w:val="left"/>
            </w:pPr>
            <w:r>
              <w:rPr>
                <w:rFonts w:ascii="Calibri" w:cs="Calibri" w:eastAsia="Calibri" w:hAnsi="Calibri"/>
                <w:b/>
                <w:bCs/>
                <w:color w:val="123A4E"/>
                <w:sz w:val="19"/>
                <w:szCs w:val="19"/>
              </w:rPr>
              <w:t xml:space="preserve">SOUS-TOTAL B — CAILLASSE</w:t>
            </w:r>
          </w:p>
        </w:tc>
        <w:tc>
          <w:tcPr>
            <w:tcW w:type="dxa" w:w="1928"/>
            <w:shd w:fill="DCEAF0" w:color="auto" w:val="clear"/>
          </w:tcPr>
          <w:p>
            <w:pPr>
              <w:spacing w:after="0" w:before="0" w:line="240"/>
              <w:jc w:val="left"/>
            </w:pPr>
            <w:r>
              <w:rPr>
                <w:rFonts w:ascii="Calibri" w:cs="Calibri" w:eastAsia="Calibri" w:hAnsi="Calibri"/>
                <w:color w:val="24333B"/>
                <w:sz w:val="19"/>
                <w:szCs w:val="19"/>
              </w:rPr>
              <w:t xml:space="preserve"/>
            </w:r>
          </w:p>
        </w:tc>
        <w:tc>
          <w:tcPr>
            <w:tcW w:type="dxa" w:w="1360"/>
            <w:shd w:fill="DCEAF0" w:color="auto" w:val="clear"/>
          </w:tcPr>
          <w:p>
            <w:pPr>
              <w:spacing w:after="0" w:before="0" w:line="240"/>
              <w:jc w:val="left"/>
            </w:pPr>
            <w:r>
              <w:rPr>
                <w:rFonts w:ascii="Calibri" w:cs="Calibri" w:eastAsia="Calibri" w:hAnsi="Calibri"/>
                <w:color w:val="24333B"/>
                <w:sz w:val="19"/>
                <w:szCs w:val="19"/>
              </w:rPr>
              <w:t xml:space="preserve"/>
            </w:r>
          </w:p>
        </w:tc>
        <w:tc>
          <w:tcPr>
            <w:tcW w:type="dxa" w:w="1928"/>
            <w:shd w:fill="DCEAF0" w:color="auto" w:val="clear"/>
          </w:tcPr>
          <w:p>
            <w:pPr>
              <w:spacing w:after="0" w:before="0" w:line="240"/>
              <w:jc w:val="right"/>
            </w:pPr>
            <w:r>
              <w:rPr>
                <w:rFonts w:ascii="Calibri" w:cs="Calibri" w:eastAsia="Calibri" w:hAnsi="Calibri"/>
                <w:b/>
                <w:bCs/>
                <w:color w:val="123A4E"/>
                <w:sz w:val="19"/>
                <w:szCs w:val="19"/>
              </w:rPr>
              <w:t xml:space="preserve">6 747 000</w:t>
            </w:r>
          </w:p>
        </w:tc>
      </w:tr>
    </w:tbl>
    <w:p>
      <w:pPr>
        <w:spacing w:after="60" w:before="240" w:line="259"/>
        <w:ind w:left="320" w:hanging="320"/>
      </w:pPr>
      <w:r>
        <w:rPr>
          <w:rFonts w:ascii="Calibri" w:cs="Calibri" w:eastAsia="Calibri" w:hAnsi="Calibri"/>
          <w:b/>
          <w:bCs/>
          <w:color w:val="1F6F8B"/>
          <w:sz w:val="24"/>
          <w:szCs w:val="24"/>
        </w:rPr>
        <w:t xml:space="preserve">C.</w:t>
        <w:tab/>
        <w:t xml:space="preserve">Vestiaires : WC à l'anglaise à la place des sièges turcs (amélioration de standard)</w:t>
      </w:r>
    </w:p>
    <w:tbl>
      <w:tblPr>
        <w:tblW w:type="dxa" w:w="9746"/>
        <w:tblBorders>
          <w:top w:val="single" w:color="C9D8DF" w:sz="4"/>
          <w:left w:val="single" w:color="C9D8DF" w:sz="4"/>
          <w:bottom w:val="single" w:color="C9D8DF" w:sz="4"/>
          <w:right w:val="single" w:color="C9D8DF" w:sz="4"/>
          <w:insideH w:val="single" w:color="C9D8DF" w:sz="4"/>
          <w:insideV w:val="single" w:color="C9D8DF" w:sz="4"/>
        </w:tblBorders>
        <w:tblCellMar>
          <w:top w:type="dxa" w:w="30"/>
          <w:left w:type="dxa" w:w="108"/>
          <w:bottom w:type="dxa" w:w="30"/>
          <w:right w:type="dxa" w:w="108"/>
        </w:tblCellMar>
      </w:tblPr>
      <w:tblGrid>
        <w:gridCol w:w="1810"/>
        <w:gridCol w:w="2720"/>
        <w:gridCol w:w="5216"/>
      </w:tblGrid>
      <w:tr>
        <w:trPr>
          <w:cantSplit/>
          <w:tblHeader w:val="false"/>
        </w:trPr>
        <w:tc>
          <w:tcPr>
            <w:tcW w:type="dxa" w:w="1810"/>
            <w:shd w:fill="123A4E" w:color="auto" w:val="clear"/>
          </w:tcPr>
          <w:p>
            <w:pPr>
              <w:spacing w:after="0" w:before="0" w:line="240"/>
              <w:jc w:val="center"/>
            </w:pPr>
            <w:r>
              <w:rPr>
                <w:rFonts w:ascii="Calibri" w:cs="Calibri" w:eastAsia="Calibri" w:hAnsi="Calibri"/>
                <w:b/>
                <w:bCs/>
                <w:color w:val="FFFFFF"/>
                <w:sz w:val="19"/>
                <w:szCs w:val="19"/>
              </w:rPr>
              <w:t xml:space="preserve">Élément</w:t>
            </w:r>
          </w:p>
        </w:tc>
        <w:tc>
          <w:tcPr>
            <w:tcW w:type="dxa" w:w="2720"/>
            <w:shd w:fill="123A4E" w:color="auto" w:val="clear"/>
          </w:tcPr>
          <w:p>
            <w:pPr>
              <w:spacing w:after="0" w:before="0" w:line="240"/>
              <w:jc w:val="center"/>
            </w:pPr>
            <w:r>
              <w:rPr>
                <w:rFonts w:ascii="Calibri" w:cs="Calibri" w:eastAsia="Calibri" w:hAnsi="Calibri"/>
                <w:b/>
                <w:bCs/>
                <w:color w:val="FFFFFF"/>
                <w:sz w:val="19"/>
                <w:szCs w:val="19"/>
              </w:rPr>
              <w:t xml:space="preserve">Prévu au BDQE (VEST 8.2)</w:t>
            </w:r>
          </w:p>
        </w:tc>
        <w:tc>
          <w:tcPr>
            <w:tcW w:type="dxa" w:w="5216"/>
            <w:shd w:fill="123A4E" w:color="auto" w:val="clear"/>
          </w:tcPr>
          <w:p>
            <w:pPr>
              <w:spacing w:after="0" w:before="0" w:line="240"/>
              <w:jc w:val="center"/>
            </w:pPr>
            <w:r>
              <w:rPr>
                <w:rFonts w:ascii="Calibri" w:cs="Calibri" w:eastAsia="Calibri" w:hAnsi="Calibri"/>
                <w:b/>
                <w:bCs/>
                <w:color w:val="FFFFFF"/>
                <w:sz w:val="19"/>
                <w:szCs w:val="19"/>
              </w:rPr>
              <w:t xml:space="preserve">Réalisé par l'ECAE</w:t>
            </w:r>
          </w:p>
        </w:tc>
      </w:tr>
      <w:tr>
        <w:trPr>
          <w:cantSplit/>
        </w:trPr>
        <w:tc>
          <w:tcPr>
            <w:tcW w:type="dxa" w:w="1810"/>
          </w:tcPr>
          <w:p>
            <w:pPr>
              <w:spacing w:after="0" w:before="0" w:line="240"/>
              <w:jc w:val="left"/>
            </w:pPr>
            <w:r>
              <w:rPr>
                <w:rFonts w:ascii="Calibri" w:cs="Calibri" w:eastAsia="Calibri" w:hAnsi="Calibri"/>
                <w:color w:val="24333B"/>
                <w:sz w:val="19"/>
                <w:szCs w:val="19"/>
              </w:rPr>
              <w:t xml:space="preserve">Équipement</w:t>
            </w:r>
          </w:p>
        </w:tc>
        <w:tc>
          <w:tcPr>
            <w:tcW w:type="dxa" w:w="2720"/>
          </w:tcPr>
          <w:p>
            <w:pPr>
              <w:spacing w:after="0" w:before="0" w:line="240"/>
              <w:jc w:val="left"/>
            </w:pPr>
            <w:r>
              <w:rPr>
                <w:rFonts w:ascii="Calibri" w:cs="Calibri" w:eastAsia="Calibri" w:hAnsi="Calibri"/>
                <w:color w:val="24333B"/>
                <w:sz w:val="19"/>
                <w:szCs w:val="19"/>
              </w:rPr>
              <w:t xml:space="preserve">2 sièges turcs</w:t>
            </w:r>
          </w:p>
        </w:tc>
        <w:tc>
          <w:tcPr>
            <w:tcW w:type="dxa" w:w="5216"/>
          </w:tcPr>
          <w:p>
            <w:pPr>
              <w:spacing w:after="0" w:before="0" w:line="240"/>
              <w:jc w:val="left"/>
            </w:pPr>
            <w:r>
              <w:rPr>
                <w:rFonts w:ascii="Calibri" w:cs="Calibri" w:eastAsia="Calibri" w:hAnsi="Calibri"/>
                <w:color w:val="24333B"/>
                <w:sz w:val="19"/>
                <w:szCs w:val="19"/>
              </w:rPr>
              <w:t xml:space="preserve">2 WC à l'anglaise complets (cuvette, réservoir, abattant)</w:t>
            </w:r>
          </w:p>
        </w:tc>
      </w:tr>
      <w:tr>
        <w:trPr>
          <w:cantSplit/>
        </w:trPr>
        <w:tc>
          <w:tcPr>
            <w:tcW w:type="dxa" w:w="1810"/>
            <w:shd w:fill="F2F7FA" w:color="auto" w:val="clear"/>
          </w:tcPr>
          <w:p>
            <w:pPr>
              <w:spacing w:after="0" w:before="0" w:line="240"/>
              <w:jc w:val="left"/>
            </w:pPr>
            <w:r>
              <w:rPr>
                <w:rFonts w:ascii="Calibri" w:cs="Calibri" w:eastAsia="Calibri" w:hAnsi="Calibri"/>
                <w:color w:val="24333B"/>
                <w:sz w:val="19"/>
                <w:szCs w:val="19"/>
              </w:rPr>
              <w:t xml:space="preserve">Standard</w:t>
            </w:r>
          </w:p>
        </w:tc>
        <w:tc>
          <w:tcPr>
            <w:tcW w:type="dxa" w:w="2720"/>
            <w:shd w:fill="F2F7FA" w:color="auto" w:val="clear"/>
          </w:tcPr>
          <w:p>
            <w:pPr>
              <w:spacing w:after="0" w:before="0" w:line="240"/>
              <w:jc w:val="left"/>
            </w:pPr>
            <w:r>
              <w:rPr>
                <w:rFonts w:ascii="Calibri" w:cs="Calibri" w:eastAsia="Calibri" w:hAnsi="Calibri"/>
                <w:color w:val="24333B"/>
                <w:sz w:val="19"/>
                <w:szCs w:val="19"/>
              </w:rPr>
              <w:t xml:space="preserve">Basique</w:t>
            </w:r>
          </w:p>
        </w:tc>
        <w:tc>
          <w:tcPr>
            <w:tcW w:type="dxa" w:w="5216"/>
            <w:shd w:fill="F2F7FA" w:color="auto" w:val="clear"/>
          </w:tcPr>
          <w:p>
            <w:pPr>
              <w:spacing w:after="0" w:before="0" w:line="240"/>
              <w:jc w:val="left"/>
            </w:pPr>
            <w:r>
              <w:rPr>
                <w:rFonts w:ascii="Calibri" w:cs="Calibri" w:eastAsia="Calibri" w:hAnsi="Calibri"/>
                <w:color w:val="24333B"/>
                <w:sz w:val="19"/>
                <w:szCs w:val="19"/>
              </w:rPr>
              <w:t xml:space="preserve">Supérieur : confort, hygiène, entretien facilité</w:t>
            </w:r>
          </w:p>
        </w:tc>
      </w:tr>
      <w:tr>
        <w:trPr>
          <w:cantSplit/>
        </w:trPr>
        <w:tc>
          <w:tcPr>
            <w:tcW w:type="dxa" w:w="1810"/>
            <w:shd w:fill="DCEAF0" w:color="auto" w:val="clear"/>
          </w:tcPr>
          <w:p>
            <w:pPr>
              <w:spacing w:after="0" w:before="0" w:line="240"/>
              <w:jc w:val="left"/>
            </w:pPr>
            <w:r>
              <w:rPr>
                <w:rFonts w:ascii="Calibri" w:cs="Calibri" w:eastAsia="Calibri" w:hAnsi="Calibri"/>
                <w:b/>
                <w:bCs/>
                <w:color w:val="123A4E"/>
                <w:sz w:val="19"/>
                <w:szCs w:val="19"/>
              </w:rPr>
              <w:t xml:space="preserve">Incidence financière</w:t>
            </w:r>
          </w:p>
        </w:tc>
        <w:tc>
          <w:tcPr>
            <w:tcW w:type="dxa" w:w="2720"/>
            <w:shd w:fill="DCEAF0" w:color="auto" w:val="clear"/>
          </w:tcPr>
          <w:p>
            <w:pPr>
              <w:spacing w:after="0" w:before="0" w:line="240"/>
              <w:jc w:val="left"/>
            </w:pPr>
            <w:r>
              <w:rPr>
                <w:rFonts w:ascii="Calibri" w:cs="Calibri" w:eastAsia="Calibri" w:hAnsi="Calibri"/>
                <w:b/>
                <w:bCs/>
                <w:color w:val="123A4E"/>
                <w:sz w:val="19"/>
                <w:szCs w:val="19"/>
              </w:rPr>
              <w:t xml:space="preserve">Prix du BDQE conservé, aucun supplément demandé</w:t>
            </w:r>
          </w:p>
        </w:tc>
        <w:tc>
          <w:tcPr>
            <w:tcW w:type="dxa" w:w="5216"/>
            <w:shd w:fill="DCEAF0" w:color="auto" w:val="clear"/>
          </w:tcPr>
          <w:p>
            <w:pPr>
              <w:spacing w:after="0" w:before="0" w:line="240"/>
              <w:jc w:val="left"/>
            </w:pPr>
            <w:r>
              <w:rPr>
                <w:rFonts w:ascii="Calibri" w:cs="Calibri" w:eastAsia="Calibri" w:hAnsi="Calibri"/>
                <w:b/>
                <w:bCs/>
                <w:color w:val="123A4E"/>
                <w:sz w:val="19"/>
                <w:szCs w:val="19"/>
              </w:rPr>
              <w:t xml:space="preserve">Différence de coût prise en charge par l'ECAE — amélioration offerte, non comptée au bilan</w:t>
            </w:r>
          </w:p>
        </w:tc>
      </w:tr>
    </w:tbl>
    <w:p>
      <w:pPr>
        <w:pBdr>
          <w:bottom w:val="single" w:color="2E9CA6" w:sz="8" w:space="3"/>
        </w:pBdr>
        <w:spacing w:after="80" w:before="150" w:line="259"/>
        <w:ind w:left="340" w:hanging="340"/>
      </w:pPr>
      <w:r>
        <w:rPr>
          <w:rFonts w:ascii="Calibri" w:cs="Calibri" w:eastAsia="Calibri" w:hAnsi="Calibri"/>
          <w:b/>
          <w:bCs/>
          <w:color w:val="123A4E"/>
          <w:sz w:val="28"/>
          <w:szCs w:val="28"/>
        </w:rPr>
        <w:t xml:space="preserve">3.</w:t>
        <w:tab/>
        <w:t xml:space="preserve">BILAN DE LA COMPENSATION</w:t>
      </w:r>
    </w:p>
    <w:tbl>
      <w:tblPr>
        <w:tblW w:type="dxa" w:w="9746"/>
        <w:tblBorders>
          <w:top w:val="single" w:color="C9D8DF" w:sz="4"/>
          <w:left w:val="single" w:color="C9D8DF" w:sz="4"/>
          <w:bottom w:val="single" w:color="C9D8DF" w:sz="4"/>
          <w:right w:val="single" w:color="C9D8DF" w:sz="4"/>
          <w:insideH w:val="single" w:color="C9D8DF" w:sz="4"/>
          <w:insideV w:val="single" w:color="C9D8DF" w:sz="4"/>
        </w:tblBorders>
        <w:tblCellMar>
          <w:top w:type="dxa" w:w="30"/>
          <w:left w:type="dxa" w:w="108"/>
          <w:bottom w:type="dxa" w:w="30"/>
          <w:right w:type="dxa" w:w="108"/>
        </w:tblCellMar>
      </w:tblPr>
      <w:tblGrid>
        <w:gridCol w:w="6458"/>
        <w:gridCol w:w="3288"/>
      </w:tblGrid>
      <w:tr>
        <w:trPr>
          <w:cantSplit/>
          <w:tblHeader w:val="false"/>
        </w:trPr>
        <w:tc>
          <w:tcPr>
            <w:tcW w:type="dxa" w:w="6458"/>
            <w:shd w:fill="123A4E" w:color="auto" w:val="clear"/>
          </w:tcPr>
          <w:p>
            <w:pPr>
              <w:spacing w:after="0" w:before="0" w:line="240"/>
              <w:jc w:val="center"/>
            </w:pPr>
            <w:r>
              <w:rPr>
                <w:rFonts w:ascii="Calibri" w:cs="Calibri" w:eastAsia="Calibri" w:hAnsi="Calibri"/>
                <w:b/>
                <w:bCs/>
                <w:color w:val="FFFFFF"/>
                <w:sz w:val="20"/>
                <w:szCs w:val="20"/>
              </w:rPr>
              <w:t xml:space="preserve">Poste</w:t>
            </w:r>
          </w:p>
        </w:tc>
        <w:tc>
          <w:tcPr>
            <w:tcW w:type="dxa" w:w="3288"/>
            <w:shd w:fill="123A4E" w:color="auto" w:val="clear"/>
          </w:tcPr>
          <w:p>
            <w:pPr>
              <w:spacing w:after="0" w:before="0" w:line="240"/>
              <w:jc w:val="center"/>
            </w:pPr>
            <w:r>
              <w:rPr>
                <w:rFonts w:ascii="Calibri" w:cs="Calibri" w:eastAsia="Calibri" w:hAnsi="Calibri"/>
                <w:b/>
                <w:bCs/>
                <w:color w:val="FFFFFF"/>
                <w:sz w:val="20"/>
                <w:szCs w:val="20"/>
              </w:rPr>
              <w:t xml:space="preserve">Montant TTC (Ar)</w:t>
            </w:r>
          </w:p>
        </w:tc>
      </w:tr>
      <w:tr>
        <w:trPr>
          <w:cantSplit/>
        </w:trPr>
        <w:tc>
          <w:tcPr>
            <w:tcW w:type="dxa" w:w="6458"/>
          </w:tcPr>
          <w:p>
            <w:pPr>
              <w:spacing w:after="0" w:before="0" w:line="240"/>
              <w:jc w:val="left"/>
            </w:pPr>
            <w:r>
              <w:rPr>
                <w:rFonts w:ascii="Calibri" w:cs="Calibri" w:eastAsia="Calibri" w:hAnsi="Calibri"/>
                <w:color w:val="24333B"/>
                <w:sz w:val="20"/>
                <w:szCs w:val="20"/>
              </w:rPr>
              <w:t xml:space="preserve">Moins-value : faïence murale non réalisée (17 m²)</w:t>
            </w:r>
          </w:p>
        </w:tc>
        <w:tc>
          <w:tcPr>
            <w:tcW w:type="dxa" w:w="3288"/>
          </w:tcPr>
          <w:p>
            <w:pPr>
              <w:spacing w:after="0" w:before="0" w:line="240"/>
              <w:jc w:val="right"/>
            </w:pPr>
            <w:r>
              <w:rPr>
                <w:rFonts w:ascii="Calibri" w:cs="Calibri" w:eastAsia="Calibri" w:hAnsi="Calibri"/>
                <w:color w:val="24333B"/>
                <w:sz w:val="20"/>
                <w:szCs w:val="20"/>
              </w:rPr>
              <w:t xml:space="preserve">− 1 309 000</w:t>
            </w:r>
          </w:p>
        </w:tc>
      </w:tr>
      <w:tr>
        <w:trPr>
          <w:cantSplit/>
        </w:trPr>
        <w:tc>
          <w:tcPr>
            <w:tcW w:type="dxa" w:w="6458"/>
            <w:shd w:fill="F2F7FA" w:color="auto" w:val="clear"/>
          </w:tcPr>
          <w:p>
            <w:pPr>
              <w:spacing w:after="0" w:before="0" w:line="240"/>
              <w:jc w:val="left"/>
            </w:pPr>
            <w:r>
              <w:rPr>
                <w:rFonts w:ascii="Calibri" w:cs="Calibri" w:eastAsia="Calibri" w:hAnsi="Calibri"/>
                <w:color w:val="24333B"/>
                <w:sz w:val="20"/>
                <w:szCs w:val="20"/>
              </w:rPr>
              <w:t xml:space="preserve">Plus-value A : supplément de terrain (+ 99 m² aux prix BDQE)</w:t>
            </w:r>
          </w:p>
        </w:tc>
        <w:tc>
          <w:tcPr>
            <w:tcW w:type="dxa" w:w="3288"/>
            <w:shd w:fill="F2F7FA" w:color="auto" w:val="clear"/>
          </w:tcPr>
          <w:p>
            <w:pPr>
              <w:spacing w:after="0" w:before="0" w:line="240"/>
              <w:jc w:val="right"/>
            </w:pPr>
            <w:r>
              <w:rPr>
                <w:rFonts w:ascii="Calibri" w:cs="Calibri" w:eastAsia="Calibri" w:hAnsi="Calibri"/>
                <w:color w:val="24333B"/>
                <w:sz w:val="20"/>
                <w:szCs w:val="20"/>
              </w:rPr>
              <w:t xml:space="preserve">+ 9 959 400</w:t>
            </w:r>
          </w:p>
        </w:tc>
      </w:tr>
      <w:tr>
        <w:trPr>
          <w:cantSplit/>
        </w:trPr>
        <w:tc>
          <w:tcPr>
            <w:tcW w:type="dxa" w:w="6458"/>
          </w:tcPr>
          <w:p>
            <w:pPr>
              <w:spacing w:after="0" w:before="0" w:line="240"/>
              <w:jc w:val="left"/>
            </w:pPr>
            <w:r>
              <w:rPr>
                <w:rFonts w:ascii="Calibri" w:cs="Calibri" w:eastAsia="Calibri" w:hAnsi="Calibri"/>
                <w:color w:val="24333B"/>
                <w:sz w:val="20"/>
                <w:szCs w:val="20"/>
              </w:rPr>
              <w:t xml:space="preserve">Plus-value B : couche de caillasse sur 519 m² (hors BDQE, prix estimatif)</w:t>
            </w:r>
          </w:p>
        </w:tc>
        <w:tc>
          <w:tcPr>
            <w:tcW w:type="dxa" w:w="3288"/>
          </w:tcPr>
          <w:p>
            <w:pPr>
              <w:spacing w:after="0" w:before="0" w:line="240"/>
              <w:jc w:val="right"/>
            </w:pPr>
            <w:r>
              <w:rPr>
                <w:rFonts w:ascii="Calibri" w:cs="Calibri" w:eastAsia="Calibri" w:hAnsi="Calibri"/>
                <w:color w:val="24333B"/>
                <w:sz w:val="20"/>
                <w:szCs w:val="20"/>
              </w:rPr>
              <w:t xml:space="preserve">+ 6 747 000</w:t>
            </w:r>
          </w:p>
        </w:tc>
      </w:tr>
      <w:tr>
        <w:trPr>
          <w:cantSplit/>
        </w:trPr>
        <w:tc>
          <w:tcPr>
            <w:tcW w:type="dxa" w:w="6458"/>
            <w:shd w:fill="F2F7FA" w:color="auto" w:val="clear"/>
          </w:tcPr>
          <w:p>
            <w:pPr>
              <w:spacing w:after="0" w:before="0" w:line="240"/>
              <w:jc w:val="left"/>
            </w:pPr>
            <w:r>
              <w:rPr>
                <w:rFonts w:ascii="Calibri" w:cs="Calibri" w:eastAsia="Calibri" w:hAnsi="Calibri"/>
                <w:color w:val="24333B"/>
                <w:sz w:val="20"/>
                <w:szCs w:val="20"/>
              </w:rPr>
              <w:t xml:space="preserve">Plus-value C : WC à l'anglaise (amélioration offerte)</w:t>
            </w:r>
          </w:p>
        </w:tc>
        <w:tc>
          <w:tcPr>
            <w:tcW w:type="dxa" w:w="3288"/>
            <w:shd w:fill="F2F7FA" w:color="auto" w:val="clear"/>
          </w:tcPr>
          <w:p>
            <w:pPr>
              <w:spacing w:after="0" w:before="0" w:line="240"/>
              <w:jc w:val="right"/>
            </w:pPr>
            <w:r>
              <w:rPr>
                <w:rFonts w:ascii="Calibri" w:cs="Calibri" w:eastAsia="Calibri" w:hAnsi="Calibri"/>
                <w:color w:val="24333B"/>
                <w:sz w:val="20"/>
                <w:szCs w:val="20"/>
              </w:rPr>
              <w:t xml:space="preserve">pour mémoire</w:t>
            </w:r>
          </w:p>
        </w:tc>
      </w:tr>
      <w:tr>
        <w:trPr>
          <w:cantSplit/>
        </w:trPr>
        <w:tc>
          <w:tcPr>
            <w:tcW w:type="dxa" w:w="6458"/>
            <w:shd w:fill="DCEAF0" w:color="auto" w:val="clear"/>
          </w:tcPr>
          <w:p>
            <w:pPr>
              <w:spacing w:after="0" w:before="0" w:line="240"/>
              <w:jc w:val="left"/>
            </w:pPr>
            <w:r>
              <w:rPr>
                <w:rFonts w:ascii="Calibri" w:cs="Calibri" w:eastAsia="Calibri" w:hAnsi="Calibri"/>
                <w:b/>
                <w:bCs/>
                <w:color w:val="123A4E"/>
                <w:sz w:val="20"/>
                <w:szCs w:val="20"/>
              </w:rPr>
              <w:t xml:space="preserve">TOTAL DES PLUS-VALUES RÉALISÉES SANS FACTURATION</w:t>
            </w:r>
          </w:p>
        </w:tc>
        <w:tc>
          <w:tcPr>
            <w:tcW w:type="dxa" w:w="3288"/>
            <w:shd w:fill="DCEAF0" w:color="auto" w:val="clear"/>
          </w:tcPr>
          <w:p>
            <w:pPr>
              <w:spacing w:after="0" w:before="0" w:line="240"/>
              <w:jc w:val="right"/>
            </w:pPr>
            <w:r>
              <w:rPr>
                <w:rFonts w:ascii="Calibri" w:cs="Calibri" w:eastAsia="Calibri" w:hAnsi="Calibri"/>
                <w:b/>
                <w:bCs/>
                <w:color w:val="123A4E"/>
                <w:sz w:val="20"/>
                <w:szCs w:val="20"/>
              </w:rPr>
              <w:t xml:space="preserve">+ 16 706 400</w:t>
            </w:r>
          </w:p>
        </w:tc>
      </w:tr>
      <w:tr>
        <w:trPr>
          <w:cantSplit/>
        </w:trPr>
        <w:tc>
          <w:tcPr>
            <w:tcW w:type="dxa" w:w="6458"/>
            <w:shd w:fill="BFE3E6" w:color="auto" w:val="clear"/>
          </w:tcPr>
          <w:p>
            <w:pPr>
              <w:spacing w:after="0" w:before="0" w:line="240"/>
              <w:jc w:val="left"/>
            </w:pPr>
            <w:r>
              <w:rPr>
                <w:rFonts w:ascii="Calibri" w:cs="Calibri" w:eastAsia="Calibri" w:hAnsi="Calibri"/>
                <w:b/>
                <w:bCs/>
                <w:color w:val="123A4E"/>
                <w:sz w:val="20"/>
                <w:szCs w:val="20"/>
              </w:rPr>
              <w:t xml:space="preserve">SOLDE EN FAVEUR DE L'OUVRAGE ET DES BÉNÉFICIAIRES</w:t>
            </w:r>
          </w:p>
        </w:tc>
        <w:tc>
          <w:tcPr>
            <w:tcW w:type="dxa" w:w="3288"/>
            <w:shd w:fill="BFE3E6" w:color="auto" w:val="clear"/>
          </w:tcPr>
          <w:p>
            <w:pPr>
              <w:spacing w:after="0" w:before="0" w:line="240"/>
              <w:jc w:val="right"/>
            </w:pPr>
            <w:r>
              <w:rPr>
                <w:rFonts w:ascii="Calibri" w:cs="Calibri" w:eastAsia="Calibri" w:hAnsi="Calibri"/>
                <w:b/>
                <w:bCs/>
                <w:color w:val="123A4E"/>
                <w:sz w:val="20"/>
                <w:szCs w:val="20"/>
              </w:rPr>
              <w:t xml:space="preserve">+ 15 397 400</w:t>
            </w:r>
          </w:p>
        </w:tc>
      </w:tr>
    </w:tbl>
    <w:p>
      <w:pPr>
        <w:spacing w:after="60" w:line="20" w:lineRule="exact"/>
      </w:pPr>
      <w:r>
        <w:rPr>
          <w:sz w:val="2"/>
          <w:szCs w:val="2"/>
        </w:rPr>
        <w:t xml:space="preserve"/>
      </w:r>
    </w:p>
    <w:tbl>
      <w:tblPr>
        <w:tblW w:type="dxa" w:w="9746"/>
        <w:tblBorders>
          <w:top w:val="single" w:color="2E9CA6" w:sz="10"/>
          <w:left w:val="single" w:color="2E9CA6" w:sz="10"/>
          <w:bottom w:val="single" w:color="2E9CA6" w:sz="10"/>
          <w:right w:val="single" w:color="2E9CA6" w:sz="10"/>
          <w:insideH w:val="single" w:color="2E9CA6" w:sz="10"/>
          <w:insideV w:val="single" w:color="2E9CA6" w:sz="10"/>
        </w:tblBorders>
        <w:tblCellMar>
          <w:top w:type="dxa" w:w="60"/>
          <w:left w:type="dxa" w:w="108"/>
          <w:bottom w:type="dxa" w:w="60"/>
          <w:right w:type="dxa" w:w="108"/>
        </w:tblCellMar>
      </w:tblPr>
      <w:tblGrid>
        <w:gridCol w:w="9746"/>
      </w:tblGrid>
      <w:tr>
        <w:trPr>
          <w:cantSplit/>
        </w:trPr>
        <w:tc>
          <w:tcPr>
            <w:tcW w:type="dxa" w:w="9746"/>
            <w:shd w:fill="EAF6F7" w:color="auto" w:val="clear"/>
          </w:tcPr>
          <w:p>
            <w:pPr>
              <w:spacing w:after="20" w:line="259"/>
            </w:pPr>
            <w:r>
              <w:rPr>
                <w:rFonts w:ascii="Calibri" w:cs="Calibri" w:eastAsia="Calibri" w:hAnsi="Calibri"/>
                <w:b/>
                <w:bCs/>
                <w:color w:val="123A4E"/>
                <w:sz w:val="20"/>
                <w:szCs w:val="20"/>
              </w:rPr>
              <w:t xml:space="preserve">Lecture du bilan</w:t>
            </w:r>
          </w:p>
          <w:p>
            <w:pPr>
              <w:spacing w:after="0" w:line="259"/>
              <w:jc w:val="both"/>
            </w:pPr>
            <w:r>
              <w:rPr>
                <w:rFonts w:ascii="Calibri" w:cs="Calibri" w:eastAsia="Calibri" w:hAnsi="Calibri"/>
                <w:color w:val="24333B"/>
                <w:sz w:val="19"/>
                <w:szCs w:val="19"/>
              </w:rPr>
              <w:t xml:space="preserve">Les travaux réalisés en plus valent 12,8 fois la faïence manquante. Chaque plus-value la couvre à elle seule : le supplément de terrain 7,6 fois, la couche de caillasse 5,2 fois. Après compensation, l'ouvrage livré vaut 15 397 400 Ar de plus que le BDQE, sans facturation supplémentaire.</w:t>
            </w:r>
          </w:p>
        </w:tc>
      </w:tr>
    </w:tbl>
    <w:p>
      <w:pPr>
        <w:pBdr>
          <w:bottom w:val="single" w:color="2E9CA6" w:sz="8" w:space="3"/>
        </w:pBdr>
        <w:spacing w:after="80" w:before="400" w:line="259"/>
        <w:ind w:left="340" w:hanging="340"/>
      </w:pPr>
      <w:r>
        <w:rPr>
          <w:rFonts w:ascii="Calibri" w:cs="Calibri" w:eastAsia="Calibri" w:hAnsi="Calibri"/>
          <w:b/>
          <w:bCs/>
          <w:color w:val="123A4E"/>
          <w:sz w:val="28"/>
          <w:szCs w:val="28"/>
        </w:rPr>
        <w:t xml:space="preserve">4.</w:t>
        <w:tab/>
        <w:t xml:space="preserve">POURQUOI CES CHOIX ONT ÉTÉ FAITS</w:t>
      </w:r>
    </w:p>
    <w:p>
      <w:pPr>
        <w:pStyle w:val="ListParagraph"/>
        <w:numPr>
          <w:ilvl w:val="0"/>
          <w:numId w:val="2"/>
        </w:numPr>
        <w:spacing w:after="60" w:before="80" w:line="259"/>
        <w:jc w:val="both"/>
      </w:pPr>
      <w:r>
        <w:rPr>
          <w:rFonts w:ascii="Calibri" w:cs="Calibri" w:eastAsia="Calibri" w:hAnsi="Calibri"/>
          <w:b/>
          <w:bCs/>
          <w:color w:val="24333B"/>
          <w:sz w:val="20"/>
          <w:szCs w:val="20"/>
        </w:rPr>
        <w:t xml:space="preserve">Sécurité des élèves — </w:t>
      </w:r>
      <w:r>
        <w:rPr>
          <w:rFonts w:ascii="Calibri" w:cs="Calibri" w:eastAsia="Calibri" w:hAnsi="Calibri"/>
          <w:color w:val="24333B"/>
          <w:sz w:val="20"/>
          <w:szCs w:val="20"/>
        </w:rPr>
        <w:t xml:space="preserve">des marges de dégagement autour de l'aire de jeu évitent que les élèves sortent de la dalle en pleine course ; elles n'étaient pas comprises dans les 420 m² du bordereau.</w:t>
      </w:r>
    </w:p>
    <w:p>
      <w:pPr>
        <w:pStyle w:val="ListParagraph"/>
        <w:numPr>
          <w:ilvl w:val="0"/>
          <w:numId w:val="2"/>
        </w:numPr>
        <w:spacing w:after="60" w:line="259"/>
        <w:jc w:val="both"/>
      </w:pPr>
      <w:r>
        <w:rPr>
          <w:rFonts w:ascii="Calibri" w:cs="Calibri" w:eastAsia="Calibri" w:hAnsi="Calibri"/>
          <w:b/>
          <w:bCs/>
          <w:color w:val="24333B"/>
          <w:sz w:val="20"/>
          <w:szCs w:val="20"/>
        </w:rPr>
        <w:t xml:space="preserve">Durabilité de la dalle — </w:t>
      </w:r>
      <w:r>
        <w:rPr>
          <w:rFonts w:ascii="Calibri" w:cs="Calibri" w:eastAsia="Calibri" w:hAnsi="Calibri"/>
          <w:color w:val="24333B"/>
          <w:sz w:val="20"/>
          <w:szCs w:val="20"/>
        </w:rPr>
        <w:t xml:space="preserve">sans caillasse compactée, la dalle de 8 cm reposerait sur une latérite de faible portance et se fissurerait dès les premières pluies ; la caillasse porte et draine la plate-forme (note de calcul).</w:t>
      </w:r>
    </w:p>
    <w:p>
      <w:pPr>
        <w:pStyle w:val="ListParagraph"/>
        <w:numPr>
          <w:ilvl w:val="0"/>
          <w:numId w:val="2"/>
        </w:numPr>
        <w:spacing w:after="60" w:line="259"/>
        <w:jc w:val="both"/>
      </w:pPr>
      <w:r>
        <w:rPr>
          <w:rFonts w:ascii="Calibri" w:cs="Calibri" w:eastAsia="Calibri" w:hAnsi="Calibri"/>
          <w:b/>
          <w:bCs/>
          <w:color w:val="24333B"/>
          <w:sz w:val="20"/>
          <w:szCs w:val="20"/>
        </w:rPr>
        <w:t xml:space="preserve">Hygiène et confort — </w:t>
      </w:r>
      <w:r>
        <w:rPr>
          <w:rFonts w:ascii="Calibri" w:cs="Calibri" w:eastAsia="Calibri" w:hAnsi="Calibri"/>
          <w:color w:val="24333B"/>
          <w:sz w:val="20"/>
          <w:szCs w:val="20"/>
        </w:rPr>
        <w:t xml:space="preserve">les WC à l'anglaise sont plus confortables, plus faciles à nettoyer et mieux adaptés à un usage scolaire que les sièges turcs.</w:t>
      </w:r>
    </w:p>
    <w:p>
      <w:pPr>
        <w:pStyle w:val="ListParagraph"/>
        <w:numPr>
          <w:ilvl w:val="0"/>
          <w:numId w:val="2"/>
        </w:numPr>
        <w:spacing w:after="60" w:line="259"/>
        <w:jc w:val="both"/>
      </w:pPr>
      <w:r>
        <w:rPr>
          <w:rFonts w:ascii="Calibri" w:cs="Calibri" w:eastAsia="Calibri" w:hAnsi="Calibri"/>
          <w:b/>
          <w:bCs/>
          <w:color w:val="24333B"/>
          <w:sz w:val="20"/>
          <w:szCs w:val="20"/>
        </w:rPr>
        <w:t xml:space="preserve">Faïence murale — </w:t>
      </w:r>
      <w:r>
        <w:rPr>
          <w:rFonts w:ascii="Calibri" w:cs="Calibri" w:eastAsia="Calibri" w:hAnsi="Calibri"/>
          <w:color w:val="24333B"/>
          <w:sz w:val="20"/>
          <w:szCs w:val="20"/>
        </w:rPr>
        <w:t xml:space="preserve">posée sur les zones humides utiles (douches et WC, 15 m²) ; les autres parois sont enduites et peintes, sans effet sur l'usage ni l'entretien des locaux.</w:t>
      </w:r>
    </w:p>
    <w:p>
      <w:pPr>
        <w:spacing w:after="160" w:line="20" w:lineRule="exact"/>
      </w:pPr>
      <w:r>
        <w:rPr>
          <w:sz w:val="2"/>
          <w:szCs w:val="2"/>
        </w:rPr>
        <w:t xml:space="preserve"/>
      </w:r>
    </w:p>
    <w:tbl>
      <w:tblPr>
        <w:tblW w:type="dxa" w:w="9746"/>
        <w:tblBorders>
          <w:top w:val="single" w:color="2E9CA6" w:sz="10"/>
          <w:left w:val="single" w:color="2E9CA6" w:sz="10"/>
          <w:bottom w:val="single" w:color="2E9CA6" w:sz="10"/>
          <w:right w:val="single" w:color="2E9CA6" w:sz="10"/>
          <w:insideH w:val="single" w:color="2E9CA6" w:sz="10"/>
          <w:insideV w:val="single" w:color="2E9CA6" w:sz="10"/>
        </w:tblBorders>
        <w:tblCellMar>
          <w:top w:type="dxa" w:w="60"/>
          <w:left w:type="dxa" w:w="108"/>
          <w:bottom w:type="dxa" w:w="60"/>
          <w:right w:type="dxa" w:w="108"/>
        </w:tblCellMar>
      </w:tblPr>
      <w:tblGrid>
        <w:gridCol w:w="9746"/>
      </w:tblGrid>
      <w:tr>
        <w:trPr>
          <w:cantSplit/>
        </w:trPr>
        <w:tc>
          <w:tcPr>
            <w:tcW w:type="dxa" w:w="9746"/>
            <w:shd w:fill="EAF6F7" w:color="auto" w:val="clear"/>
          </w:tcPr>
          <w:p>
            <w:pPr>
              <w:spacing w:after="20" w:line="259"/>
            </w:pPr>
            <w:r>
              <w:rPr>
                <w:rFonts w:ascii="Calibri" w:cs="Calibri" w:eastAsia="Calibri" w:hAnsi="Calibri"/>
                <w:b/>
                <w:bCs/>
                <w:color w:val="123A4E"/>
                <w:sz w:val="20"/>
                <w:szCs w:val="20"/>
              </w:rPr>
              <w:t xml:space="preserve">Remarque</w:t>
            </w:r>
          </w:p>
          <w:p>
            <w:pPr>
              <w:spacing w:after="0" w:line="259"/>
              <w:jc w:val="both"/>
            </w:pPr>
            <w:r>
              <w:rPr>
                <w:rFonts w:ascii="Calibri" w:cs="Calibri" w:eastAsia="Calibri" w:hAnsi="Calibri"/>
                <w:color w:val="24333B"/>
                <w:sz w:val="19"/>
                <w:szCs w:val="19"/>
              </w:rPr>
              <w:t xml:space="preserve">Les plus-values réalisées hors BDQE ne font l'objet d'aucune demande de règlement de la part de l'ECAE. Ces travaux n'ont pas été engagés pour obtenir un supplément de prix : ils ont été exécutés parce qu'ils étaient nécessaires à la sécurité des élèves, à la solidité et à la durée de vie de l'ouvrage remis au CEG.</w:t>
            </w:r>
          </w:p>
        </w:tc>
      </w:tr>
    </w:tbl>
    <w:p>
      <w:pPr>
        <w:spacing w:after="280" w:line="20" w:lineRule="exact"/>
      </w:pPr>
      <w:r>
        <w:rPr>
          <w:sz w:val="2"/>
          <w:szCs w:val="2"/>
        </w:rPr>
        <w:t xml:space="preserve"/>
      </w:r>
    </w:p>
    <w:tbl>
      <w:tblPr>
        <w:tblW w:type="dxa" w:w="3400"/>
        <w:jc w:val="right"/>
        <w:tblBorders>
          <w:top w:val="single" w:color="C9D8DF" w:sz="4"/>
          <w:left w:val="single" w:color="C9D8DF" w:sz="4"/>
          <w:bottom w:val="single" w:color="C9D8DF" w:sz="4"/>
          <w:right w:val="single" w:color="C9D8DF" w:sz="4"/>
          <w:insideH w:val="single" w:color="C9D8DF" w:sz="4"/>
          <w:insideV w:val="single" w:color="C9D8DF" w:sz="4"/>
        </w:tblBorders>
        <w:tblCellMar>
          <w:top w:type="dxa" w:w="30"/>
          <w:left w:type="dxa" w:w="108"/>
          <w:bottom w:type="dxa" w:w="30"/>
          <w:right w:type="dxa" w:w="108"/>
        </w:tblCellMar>
      </w:tblPr>
      <w:tblGrid>
        <w:gridCol w:w="3400"/>
      </w:tblGrid>
      <w:tr>
        <w:trPr>
          <w:cantSplit/>
        </w:trPr>
        <w:tc>
          <w:tcPr>
            <w:tcW w:type="dxa" w:w="3400"/>
            <w:shd w:fill="DCEAF0" w:color="auto" w:val="clear"/>
          </w:tcPr>
          <w:p>
            <w:pPr>
              <w:spacing w:after="0" w:before="0" w:line="240"/>
              <w:jc w:val="center"/>
            </w:pPr>
            <w:r>
              <w:rPr>
                <w:rFonts w:ascii="Calibri" w:cs="Calibri" w:eastAsia="Calibri" w:hAnsi="Calibri"/>
                <w:b/>
                <w:bCs/>
                <w:color w:val="123A4E"/>
                <w:sz w:val="17"/>
                <w:szCs w:val="17"/>
              </w:rPr>
              <w:t xml:space="preserve">Pour l'ECAE — Directeur Général</w:t>
            </w:r>
          </w:p>
        </w:tc>
      </w:tr>
      <w:tr>
        <w:trPr>
          <w:cantSplit/>
        </w:trPr>
        <w:tc>
          <w:tcPr>
            <w:tcW w:type="dxa" w:w="3400"/>
            <w:vAlign w:val="center"/>
          </w:tcPr>
          <w:p>
            <w:pPr>
              <w:spacing w:after="80" w:before="80" w:line="240" w:lineRule="auto"/>
              <w:jc w:val="center"/>
            </w:pPr>
            <w:r>
              <w:drawing>
                <wp:inline distT="0" distB="0" distL="0" distR="0">
                  <wp:extent cx="130492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04925" cy="1143000"/>
                          </a:xfrm>
                          <a:prstGeom prst="rect">
                            <a:avLst/>
                          </a:prstGeom>
                        </pic:spPr>
                      </pic:pic>
                    </a:graphicData>
                  </a:graphic>
                </wp:inline>
              </w:drawing>
            </w:r>
          </w:p>
        </w:tc>
      </w:tr>
    </w:tbl>
    <w:sectPr>
      <w:headerReference w:type="default" r:id="rId7"/>
      <w:headerReference w:type="first" r:id="rId8"/>
      <w:footerReference w:type="default" r:id="rId9"/>
      <w:footerReference w:type="first" r:id="rId10"/>
      <w:pgSz w:w="11906" w:h="16838" w:orient="portrait"/>
      <w:pgMar w:top="1020" w:right="1080" w:bottom="1080" w:left="108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rFonts w:ascii="Calibri" w:cs="Calibri" w:eastAsia="Calibri" w:hAnsi="Calibri"/>
        <w:color w:val="6B7A85"/>
        <w:sz w:val="16"/>
        <w:szCs w:val="16"/>
      </w:rPr>
      <w:t xml:space="preserve">ECAE — Lot I AB 11 Ter D Andrononobe — Antananarivo, Madagascar • ecae@live.fr • +261 34 08 142 16   —   Page </w:t>
    </w:r>
    <w:r>
      <w:rPr>
        <w:rFonts w:ascii="Calibri" w:cs="Calibri" w:eastAsia="Calibri" w:hAnsi="Calibri"/>
        <w:color w:val="6B7A85"/>
        <w:sz w:val="20"/>
        <w:szCs w:val="20"/>
      </w:rPr>
      <w:fldChar w:fldCharType="begin"/>
      <w:instrText xml:space="preserve">PAGE</w:instrText>
      <w:fldChar w:fldCharType="separate"/>
      <w:fldChar w:fldCharType="end"/>
    </w:r>
    <w:r>
      <w:rPr>
        <w:rFonts w:ascii="Calibri" w:cs="Calibri" w:eastAsia="Calibri" w:hAnsi="Calibri"/>
        <w:color w:val="6B7A85"/>
        <w:sz w:val="20"/>
        <w:szCs w:val="20"/>
      </w:rPr>
      <w:t xml:space="preserve"> / </w:t>
    </w:r>
    <w:r>
      <w:rPr>
        <w:rFonts w:ascii="Calibri" w:cs="Calibri" w:eastAsia="Calibri" w:hAnsi="Calibri"/>
        <w:color w:val="6B7A85"/>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CA6" w:sz="8" w:space="3"/>
      </w:pBdr>
      <w:spacing w:after="0" w:line="240"/>
    </w:pPr>
    <w:r>
      <w:rPr>
        <w:rFonts w:ascii="Calibri" w:cs="Calibri" w:eastAsia="Calibri" w:hAnsi="Calibri"/>
        <w:b/>
        <w:bCs/>
        <w:color w:val="123A4E"/>
        <w:sz w:val="20"/>
        <w:szCs w:val="20"/>
      </w:rPr>
      <w:t xml:space="preserve">ECAE</w:t>
    </w:r>
    <w:r>
      <w:rPr>
        <w:rFonts w:ascii="Calibri" w:cs="Calibri" w:eastAsia="Calibri" w:hAnsi="Calibri"/>
        <w:color w:val="6B7A85"/>
        <w:sz w:val="16"/>
        <w:szCs w:val="16"/>
      </w:rPr>
      <w:t xml:space="preserve">   |   Rapport de compensation — TMS CEG Antanimbarinandriana   |   ECAE/TMS-ANT/2026-RC-01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33B"/>
        <w:sz w:val="19"/>
        <w:szCs w:val="19"/>
      </w:rPr>
    </w:rPrDefault>
    <w:pPrDefault>
      <w:pPr>
        <w:spacing w:after="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09989040f4f07fe2fa12377139d48f914833842.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compensation des quantités — TMS CEG Antanimbarinandriana</dc:title>
  <dc:creator>ECAE</dc:creator>
  <dc:description>Réf. ECAE/TMS-ANT/2026-RC-01</dc:description>
  <cp:lastModifiedBy>Un-named</cp:lastModifiedBy>
  <cp:revision>1</cp:revision>
  <dcterms:created xsi:type="dcterms:W3CDTF">2026-09-10T13:54:10.675Z</dcterms:created>
  <dcterms:modified xsi:type="dcterms:W3CDTF">2026-09-10T13:54:10.675Z</dcterms:modified>
</cp:coreProperties>
</file>

<file path=docProps/custom.xml><?xml version="1.0" encoding="utf-8"?>
<Properties xmlns="http://schemas.openxmlformats.org/officeDocument/2006/custom-properties" xmlns:vt="http://schemas.openxmlformats.org/officeDocument/2006/docPropsVTypes"/>
</file>