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563EB"/>
          <w:sz w:val="22"/>
          <w:szCs w:val="22"/>
        </w:rPr>
        <w:t xml:space="preserve">RAPPORT D'ANALYSE</w:t>
      </w:r>
    </w:p>
    <w:p>
      <w:pPr>
        <w:spacing w:after="40"/>
      </w:pPr>
      <w:r>
        <w:rPr>
          <w:b/>
          <w:bCs/>
          <w:color w:val="1F2937"/>
          <w:sz w:val="44"/>
          <w:szCs w:val="44"/>
        </w:rPr>
        <w:t xml:space="preserve">Projet API SCORE</w:t>
      </w:r>
    </w:p>
    <w:p>
      <w:pPr>
        <w:spacing w:after="300"/>
      </w:pPr>
      <w:r>
        <w:rPr>
          <w:i/>
          <w:iCs/>
          <w:color w:val="4B5563"/>
          <w:sz w:val="20"/>
          <w:szCs w:val="20"/>
        </w:rPr>
        <w:t xml:space="preserve">Dépôt local « api-score » — analyse du code, de l'historique git et de la documentation projet — 30 août 2026</w:t>
      </w:r>
    </w:p>
    <w:p>
      <w:pPr>
        <w:pStyle w:val="Heading1"/>
        <w:pBdr>
          <w:bottom w:val="single" w:color="2563EB" w:sz="6" w:space="4"/>
        </w:pBdr>
        <w:spacing w:after="160" w:before="360"/>
      </w:pPr>
      <w:r>
        <w:rPr>
          <w:b/>
          <w:bCs/>
          <w:color w:val="1F2937"/>
          <w:sz w:val="30"/>
          <w:szCs w:val="30"/>
        </w:rPr>
        <w:t xml:space="preserve">1. Résumé exécutif</w:t>
      </w:r>
    </w:p>
    <w:p>
      <w:pPr>
        <w:spacing w:after="160" w:line="300"/>
      </w:pPr>
      <w:r>
        <w:rPr>
          <w:color w:val="1F2937"/>
          <w:sz w:val="21"/>
          <w:szCs w:val="21"/>
        </w:rPr>
        <w:t xml:space="preserve">API SCORE est un scanner d'opportunités de paris football : il surveille les matchs en direct via API-Football, calcule des indicateurs (tirs cadrés, pressureIndex, score courant) et alerte quand une configuration définie par l'utilisateur se présente. Le projet n'est plus positionné comme une plateforme de value betting — ce recadrage, acté le 20 juillet 2026 dans la documentation du dépôt, change l'indicateur de succès pertinent : la justesse de l'alerte (hit-rate et rappel), pas le ROI.</w:t>
      </w:r>
    </w:p>
    <w:p>
      <w:pPr>
        <w:spacing w:after="160" w:line="300"/>
      </w:pPr>
      <w:r>
        <w:rPr>
          <w:color w:val="1F2937"/>
          <w:sz w:val="21"/>
          <w:szCs w:val="21"/>
        </w:rPr>
        <w:t xml:space="preserve">Le socle technique est solide : ingestion live fiable, architecture NestJS modulaire, observabilité (logs structurés, trace-id, circuit breaker), et une suite de tests qui est passée de 0 fichier de spec en juin à 14 aujourd'hui. Un plan d'implémentation en 8 lots (0 à 7) structure la suite des travaux ; 4 lots sont livrés, 4 restent à faire, pour un total estimé de 36 jours-homme dans le plan d'origine.</w:t>
      </w:r>
    </w:p>
    <w:p>
      <w:pPr>
        <w:spacing w:after="160" w:line="300"/>
      </w:pPr>
      <w:r>
        <w:rPr>
          <w:color w:val="1F2937"/>
          <w:sz w:val="21"/>
          <w:szCs w:val="21"/>
        </w:rPr>
        <w:t xml:space="preserve">Le point le plus urgent n'est pas fonctionnel mais organisationnel : tout le travail récent (odds, historique, taux de base, qualité du signal — 20 commits) vit uniquement sur la branche feat/odds-module, non fusionnée sur master et pas entièrement poussée sur origin. Le second point le plus visible pour un utilisateur : l'interface affiche encore des champs « Edge % » et « Confiance » éditables alors qu'ils ne sont pas calculés — un résidu de l'ancien positionnement value-bet que la documentation interne elle-même recommande de retirer.</w:t>
      </w:r>
    </w:p>
    <w:p>
      <w:pPr>
        <w:pStyle w:val="Heading1"/>
        <w:pBdr>
          <w:bottom w:val="single" w:color="2563EB" w:sz="6" w:space="4"/>
        </w:pBdr>
        <w:spacing w:after="160" w:before="360"/>
      </w:pPr>
      <w:r>
        <w:rPr>
          <w:b/>
          <w:bCs/>
          <w:color w:val="1F2937"/>
          <w:sz w:val="30"/>
          <w:szCs w:val="30"/>
        </w:rPr>
        <w:t xml:space="preserve">2. Ce qu'est le projet</w:t>
      </w:r>
    </w:p>
    <w:p>
      <w:pPr>
        <w:spacing w:after="160" w:line="300"/>
      </w:pPr>
      <w:r>
        <w:rPr>
          <w:color w:val="1F2937"/>
          <w:sz w:val="21"/>
          <w:szCs w:val="21"/>
        </w:rPr>
        <w:t xml:space="preserve">Le dépôt est un monorepo à deux briques : un backend NestJS / TypeORM / MySQL et un frontend Next.js 14 / React avec React Query et Zustand. La logique métier calcule un « pressureIndex » et un score de confiance à partir des statistiques live, applique des règles configurables (fenêtres de temps, seuils de signal) et produit des recommandations ainsi que des « smart coupons » résolus automatiquement selon l'issue du match.</w:t>
      </w:r>
    </w:p>
    <w:p>
      <w:pPr>
        <w:spacing w:after="160" w:line="300"/>
      </w:pPr>
      <w:r>
        <w:rPr>
          <w:color w:val="1F2937"/>
          <w:sz w:val="21"/>
          <w:szCs w:val="21"/>
        </w:rPr>
        <w:t xml:space="preserve">La vision produit documentée (fichier Systeme_Prediction_Football_Production.md) visait à terme un moteur de prédiction ML calibré et une architecture microservices. Cette ambition a été volontairement mise en retrait le 20 juillet au profit d'un objectif plus modeste et plus honnête : un détecteur d'opportunités fiable, mesuré par hit-rate et rappel plutôt que par un ROI qui n'a pas de sens sans cotes de marché réelles.</w:t>
      </w:r>
    </w:p>
    <w:p>
      <w:pPr>
        <w:pStyle w:val="Heading1"/>
        <w:pBdr>
          <w:bottom w:val="single" w:color="2563EB" w:sz="6" w:space="4"/>
        </w:pBdr>
        <w:spacing w:after="160" w:before="360"/>
      </w:pPr>
      <w:r>
        <w:rPr>
          <w:b/>
          <w:bCs/>
          <w:color w:val="1F2937"/>
          <w:sz w:val="30"/>
          <w:szCs w:val="30"/>
        </w:rPr>
        <w:t xml:space="preserve">3. Architecture technique</w:t>
      </w:r>
    </w:p>
    <w:p>
      <w:pPr>
        <w:pStyle w:val="Heading2"/>
        <w:spacing w:after="120" w:before="280"/>
      </w:pPr>
      <w:r>
        <w:rPr>
          <w:b/>
          <w:bCs/>
          <w:color w:val="2563EB"/>
          <w:sz w:val="24"/>
          <w:szCs w:val="24"/>
        </w:rPr>
        <w:t xml:space="preserve">Backend</w:t>
      </w:r>
    </w:p>
    <w:p>
      <w:pPr>
        <w:spacing w:after="160" w:line="300"/>
      </w:pPr>
      <w:r>
        <w:rPr>
          <w:color w:val="1F2937"/>
          <w:sz w:val="21"/>
          <w:szCs w:val="21"/>
        </w:rPr>
        <w:t xml:space="preserve">14 modules NestJS (fixtures, recommendations, analytics, odds, backtest, history, settings, monitoring, maintenance, archive, teams, provider-api-football, common, config), 21 migrations TypeORM versionnées, base MySQL 8. Client HTTP centralisé vers API-Football avec retry, circuit breaker et journalisation de la consommation d'API. Authentification par clé API désormais en place (guard + décorateur de route publique), ce qui corrige la faille « API totalement publique » relevée en juin.</w:t>
      </w:r>
    </w:p>
    <w:p>
      <w:pPr>
        <w:pStyle w:val="Heading2"/>
        <w:spacing w:after="120" w:before="280"/>
      </w:pPr>
      <w:r>
        <w:rPr>
          <w:b/>
          <w:bCs/>
          <w:color w:val="2563EB"/>
          <w:sz w:val="24"/>
          <w:szCs w:val="24"/>
        </w:rPr>
        <w:t xml:space="preserve">Frontend</w:t>
      </w:r>
    </w:p>
    <w:p>
      <w:pPr>
        <w:spacing w:after="160" w:line="300"/>
      </w:pPr>
      <w:r>
        <w:rPr>
          <w:color w:val="1F2937"/>
          <w:sz w:val="21"/>
          <w:szCs w:val="21"/>
        </w:rPr>
        <w:t xml:space="preserve">Dashboard Next.js avec 7 pages : accueil/live, recommandations, coupons, analytics, championnats, audit et paramètres. Composants dédiés (carte de match live, panneau de coupon, carte de recommandation) et UI kit documenté sous Storybook.</w:t>
      </w:r>
    </w:p>
    <w:p>
      <w:pPr>
        <w:pStyle w:val="Heading2"/>
        <w:spacing w:after="120" w:before="280"/>
      </w:pPr>
      <w:r>
        <w:rPr>
          <w:b/>
          <w:bCs/>
          <w:color w:val="2563EB"/>
          <w:sz w:val="24"/>
          <w:szCs w:val="24"/>
        </w:rPr>
        <w:t xml:space="preserve">État du dépôt git</w:t>
      </w:r>
    </w:p>
    <w:p>
      <w:pPr>
        <w:pStyle w:val="ListParagraph"/>
        <w:numPr>
          <w:ilvl w:val="0"/>
          <w:numId w:val="2"/>
        </w:numPr>
        <w:spacing w:after="90" w:line="290"/>
      </w:pPr>
      <w:r>
        <w:rPr>
          <w:color w:val="1F2937"/>
          <w:sz w:val="21"/>
          <w:szCs w:val="21"/>
        </w:rPr>
        <w:t xml:space="preserve">Branche active : feat/odds-module — 20 commits d'avance sur master, 3 commits non poussés vers origin/feat/odds-module.</w:t>
      </w:r>
    </w:p>
    <w:p>
      <w:pPr>
        <w:pStyle w:val="ListParagraph"/>
        <w:numPr>
          <w:ilvl w:val="0"/>
          <w:numId w:val="2"/>
        </w:numPr>
        <w:spacing w:after="90" w:line="290"/>
      </w:pPr>
      <w:r>
        <w:rPr>
          <w:color w:val="1F2937"/>
          <w:sz w:val="21"/>
          <w:szCs w:val="21"/>
        </w:rPr>
        <w:t xml:space="preserve">Master est donc en retard sur tout le travail récent : module odds, import d'historique, taux de base réels, qualité du signal (LOT 1 à 3) n'existent que sur la branche de travail.</w:t>
      </w:r>
    </w:p>
    <w:p>
      <w:pPr>
        <w:pStyle w:val="ListParagraph"/>
        <w:numPr>
          <w:ilvl w:val="0"/>
          <w:numId w:val="2"/>
        </w:numPr>
        <w:spacing w:after="90" w:line="290"/>
      </w:pPr>
      <w:r>
        <w:rPr>
          <w:color w:val="1F2937"/>
          <w:sz w:val="21"/>
          <w:szCs w:val="21"/>
        </w:rPr>
        <w:t xml:space="preserve">Une branche refactor/clean-architecture existe sur origin mais n'a pas été mise à jour depuis plus d'un an (dernier commit le 23/08/2025) et accuse 18 commits de retard sur master : à archiver ou supprimer si elle n'est plus poursuivie.</w:t>
      </w:r>
    </w:p>
    <w:p>
      <w:pPr>
        <w:pStyle w:val="ListParagraph"/>
        <w:numPr>
          <w:ilvl w:val="0"/>
          <w:numId w:val="2"/>
        </w:numPr>
        <w:spacing w:after="90" w:line="290"/>
      </w:pPr>
      <w:r>
        <w:rPr>
          <w:color w:val="1F2937"/>
          <w:sz w:val="21"/>
          <w:szCs w:val="21"/>
        </w:rPr>
        <w:t xml:space="preserve">L'arbre de travail local contient un diff important (31 fichiers, environ 13 000 lignes ajoutées et 13 000 supprimées à l'identique) qui correspond à une différence de fin de ligne (CRLF/LF) et à une régénération du lockfile npm, pas à du travail fonctionnel non validé. À nettoyer (normaliser .gitattributes) avant tout commit pour éviter un diff illisible.</w:t>
      </w:r>
    </w:p>
    <w:p>
      <w:pPr>
        <w:pStyle w:val="Heading1"/>
        <w:pBdr>
          <w:bottom w:val="single" w:color="2563EB" w:sz="6" w:space="4"/>
        </w:pBdr>
        <w:spacing w:after="160" w:before="360"/>
      </w:pPr>
      <w:r>
        <w:rPr>
          <w:b/>
          <w:bCs/>
          <w:color w:val="1F2937"/>
          <w:sz w:val="30"/>
          <w:szCs w:val="30"/>
        </w:rPr>
        <w:t xml:space="preserve">4. État d'avancement par rapport au plan</w:t>
      </w:r>
    </w:p>
    <w:p>
      <w:pPr>
        <w:spacing w:after="160" w:line="300"/>
      </w:pPr>
      <w:r>
        <w:rPr>
          <w:color w:val="1F2937"/>
          <w:sz w:val="21"/>
          <w:szCs w:val="21"/>
        </w:rPr>
        <w:t xml:space="preserve">Le plan d'implémentation du 20 juillet (PLAN_IMPLEMENTATION.md) découpe le travail restant en 8 lots. Voici l'état constaté dans le code, vérifié fichier par fichier plutôt que déclaré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3860"/>
      </w:tblGrid>
      <w:tr>
        <w:trPr>
          <w:tblHeader/>
        </w:trPr>
        <w:tc>
          <w:tcPr>
            <w:tcW w:type="dxa" w:w="900"/>
            <w:shd w:fill="1F2937" w:color="auto" w:val="clear"/>
            <w:tcMar>
              <w:top w:type="dxa" w:w="80"/>
              <w:left w:type="dxa" w:w="100"/>
              <w:bottom w:type="dxa" w:w="80"/>
              <w:right w:type="dxa" w:w="100"/>
            </w:tcMar>
          </w:tcPr>
          <w:p>
            <w:pPr>
              <w:jc w:val="left"/>
            </w:pPr>
            <w:r>
              <w:rPr>
                <w:b/>
                <w:bCs/>
                <w:color w:val="FFFFFF"/>
                <w:sz w:val="20"/>
                <w:szCs w:val="20"/>
              </w:rPr>
              <w:t xml:space="preserve">Lot</w:t>
            </w:r>
          </w:p>
        </w:tc>
        <w:tc>
          <w:tcPr>
            <w:tcW w:type="dxa" w:w="3000"/>
            <w:shd w:fill="1F2937" w:color="auto" w:val="clear"/>
            <w:tcMar>
              <w:top w:type="dxa" w:w="80"/>
              <w:left w:type="dxa" w:w="100"/>
              <w:bottom w:type="dxa" w:w="80"/>
              <w:right w:type="dxa" w:w="100"/>
            </w:tcMar>
          </w:tcPr>
          <w:p>
            <w:pPr>
              <w:jc w:val="left"/>
            </w:pPr>
            <w:r>
              <w:rPr>
                <w:b/>
                <w:bCs/>
                <w:color w:val="FFFFFF"/>
                <w:sz w:val="20"/>
                <w:szCs w:val="20"/>
              </w:rPr>
              <w:t xml:space="preserve">Objectif</w:t>
            </w:r>
          </w:p>
        </w:tc>
        <w:tc>
          <w:tcPr>
            <w:tcW w:type="dxa" w:w="1600"/>
            <w:shd w:fill="1F2937" w:color="auto" w:val="clear"/>
            <w:tcMar>
              <w:top w:type="dxa" w:w="80"/>
              <w:left w:type="dxa" w:w="100"/>
              <w:bottom w:type="dxa" w:w="80"/>
              <w:right w:type="dxa" w:w="100"/>
            </w:tcMar>
          </w:tcPr>
          <w:p>
            <w:pPr>
              <w:jc w:val="left"/>
            </w:pPr>
            <w:r>
              <w:rPr>
                <w:b/>
                <w:bCs/>
                <w:color w:val="FFFFFF"/>
                <w:sz w:val="20"/>
                <w:szCs w:val="20"/>
              </w:rPr>
              <w:t xml:space="preserve">Statut</w:t>
            </w:r>
          </w:p>
        </w:tc>
        <w:tc>
          <w:tcPr>
            <w:tcW w:type="dxa" w:w="3860"/>
            <w:shd w:fill="1F2937" w:color="auto" w:val="clear"/>
            <w:tcMar>
              <w:top w:type="dxa" w:w="80"/>
              <w:left w:type="dxa" w:w="100"/>
              <w:bottom w:type="dxa" w:w="80"/>
              <w:right w:type="dxa" w:w="100"/>
            </w:tcMar>
          </w:tcPr>
          <w:p>
            <w:pPr>
              <w:jc w:val="left"/>
            </w:pPr>
            <w:r>
              <w:rPr>
                <w:b/>
                <w:bCs/>
                <w:color w:val="FFFFFF"/>
                <w:sz w:val="20"/>
                <w:szCs w:val="20"/>
              </w:rPr>
              <w:t xml:space="preserve">Constat</w:t>
            </w:r>
          </w:p>
        </w:tc>
      </w:tr>
      <w:tr>
        <w:tc>
          <w:tcPr>
            <w:tcW w:type="dxa" w:w="900"/>
            <w:tcMar>
              <w:top w:type="dxa" w:w="80"/>
              <w:left w:type="dxa" w:w="100"/>
              <w:bottom w:type="dxa" w:w="80"/>
              <w:right w:type="dxa" w:w="100"/>
            </w:tcMar>
          </w:tcPr>
          <w:p>
            <w:pPr>
              <w:jc w:val="left"/>
            </w:pPr>
            <w:r>
              <w:rPr>
                <w:b w:val="false"/>
                <w:bCs w:val="false"/>
                <w:color w:val="1F2937"/>
                <w:sz w:val="20"/>
                <w:szCs w:val="20"/>
              </w:rPr>
              <w:t xml:space="preserve">0</w:t>
            </w:r>
          </w:p>
        </w:tc>
        <w:tc>
          <w:tcPr>
            <w:tcW w:type="dxa" w:w="3000"/>
            <w:tcMar>
              <w:top w:type="dxa" w:w="80"/>
              <w:left w:type="dxa" w:w="100"/>
              <w:bottom w:type="dxa" w:w="80"/>
              <w:right w:type="dxa" w:w="100"/>
            </w:tcMar>
          </w:tcPr>
          <w:p>
            <w:pPr>
              <w:jc w:val="left"/>
            </w:pPr>
            <w:r>
              <w:rPr>
                <w:b w:val="false"/>
                <w:bCs w:val="false"/>
                <w:color w:val="1F2937"/>
                <w:sz w:val="20"/>
                <w:szCs w:val="20"/>
              </w:rPr>
              <w:t xml:space="preserve">Rétention des données (ne plus effacer l'historique chaque nuit)</w:t>
            </w:r>
          </w:p>
        </w:tc>
        <w:tc>
          <w:tcPr>
            <w:tcW w:type="dxa" w:w="1600"/>
            <w:tcMar>
              <w:top w:type="dxa" w:w="80"/>
              <w:left w:type="dxa" w:w="100"/>
              <w:bottom w:type="dxa" w:w="80"/>
              <w:right w:type="dxa" w:w="100"/>
            </w:tcMar>
          </w:tcPr>
          <w:p>
            <w:pPr>
              <w:jc w:val="left"/>
            </w:pPr>
            <w:r>
              <w:rPr>
                <w:b/>
                <w:bCs/>
                <w:color w:val="1E7B34"/>
                <w:sz w:val="20"/>
                <w:szCs w:val="20"/>
              </w:rPr>
              <w:t xml:space="preserve">Fait</w:t>
            </w:r>
          </w:p>
        </w:tc>
        <w:tc>
          <w:tcPr>
            <w:tcW w:type="dxa" w:w="3860"/>
            <w:tcMar>
              <w:top w:type="dxa" w:w="80"/>
              <w:left w:type="dxa" w:w="100"/>
              <w:bottom w:type="dxa" w:w="80"/>
              <w:right w:type="dxa" w:w="100"/>
            </w:tcMar>
          </w:tcPr>
          <w:p>
            <w:pPr>
              <w:jc w:val="left"/>
            </w:pPr>
            <w:r>
              <w:rPr>
                <w:b w:val="false"/>
                <w:bCs w:val="false"/>
                <w:color w:val="1F2937"/>
                <w:sz w:val="20"/>
                <w:szCs w:val="20"/>
              </w:rPr>
              <w:t xml:space="preserve">DATA_RETENTION_DAYS=1095 et PAYLOAD_RETENTION_DAYS séparés, configurables et testés (cleanup.service.spec.ts).</w:t>
            </w:r>
          </w:p>
        </w:tc>
      </w:tr>
      <w:tr>
        <w:tc>
          <w:tcPr>
            <w:tcW w:type="dxa" w:w="900"/>
            <w:shd w:fill="F3F4F6" w:color="auto" w:val="clear"/>
            <w:tcMar>
              <w:top w:type="dxa" w:w="80"/>
              <w:left w:type="dxa" w:w="100"/>
              <w:bottom w:type="dxa" w:w="80"/>
              <w:right w:type="dxa" w:w="100"/>
            </w:tcMar>
          </w:tcPr>
          <w:p>
            <w:pPr>
              <w:jc w:val="left"/>
            </w:pPr>
            <w:r>
              <w:rPr>
                <w:b w:val="false"/>
                <w:bCs w:val="false"/>
                <w:color w:val="1F2937"/>
                <w:sz w:val="20"/>
                <w:szCs w:val="20"/>
              </w:rPr>
              <w:t xml:space="preserve">1</w:t>
            </w:r>
          </w:p>
        </w:tc>
        <w:tc>
          <w:tcPr>
            <w:tcW w:type="dxa" w:w="3000"/>
            <w:shd w:fill="F3F4F6" w:color="auto" w:val="clear"/>
            <w:tcMar>
              <w:top w:type="dxa" w:w="80"/>
              <w:left w:type="dxa" w:w="100"/>
              <w:bottom w:type="dxa" w:w="80"/>
              <w:right w:type="dxa" w:w="100"/>
            </w:tcMar>
          </w:tcPr>
          <w:p>
            <w:pPr>
              <w:jc w:val="left"/>
            </w:pPr>
            <w:r>
              <w:rPr>
                <w:b w:val="false"/>
                <w:bCs w:val="false"/>
                <w:color w:val="1F2937"/>
                <w:sz w:val="20"/>
                <w:szCs w:val="20"/>
              </w:rPr>
              <w:t xml:space="preserve">Import de l'historique par championnat</w:t>
            </w:r>
          </w:p>
        </w:tc>
        <w:tc>
          <w:tcPr>
            <w:tcW w:type="dxa" w:w="1600"/>
            <w:shd w:fill="F3F4F6" w:color="auto" w:val="clear"/>
            <w:tcMar>
              <w:top w:type="dxa" w:w="80"/>
              <w:left w:type="dxa" w:w="100"/>
              <w:bottom w:type="dxa" w:w="80"/>
              <w:right w:type="dxa" w:w="100"/>
            </w:tcMar>
          </w:tcPr>
          <w:p>
            <w:pPr>
              <w:jc w:val="left"/>
            </w:pPr>
            <w:r>
              <w:rPr>
                <w:b/>
                <w:bCs/>
                <w:color w:val="1E7B34"/>
                <w:sz w:val="20"/>
                <w:szCs w:val="20"/>
              </w:rPr>
              <w:t xml:space="preserve">Fait</w:t>
            </w:r>
          </w:p>
        </w:tc>
        <w:tc>
          <w:tcPr>
            <w:tcW w:type="dxa" w:w="3860"/>
            <w:shd w:fill="F3F4F6" w:color="auto" w:val="clear"/>
            <w:tcMar>
              <w:top w:type="dxa" w:w="80"/>
              <w:left w:type="dxa" w:w="100"/>
              <w:bottom w:type="dxa" w:w="80"/>
              <w:right w:type="dxa" w:w="100"/>
            </w:tcMar>
          </w:tcPr>
          <w:p>
            <w:pPr>
              <w:jc w:val="left"/>
            </w:pPr>
            <w:r>
              <w:rPr>
                <w:b w:val="false"/>
                <w:bCs w:val="false"/>
                <w:color w:val="1F2937"/>
                <w:sz w:val="20"/>
                <w:szCs w:val="20"/>
              </w:rPr>
              <w:t xml:space="preserve">history-import.service.ts + entité league_watchlist + migration + specs présents ; script CLI import:history disponible.</w:t>
            </w:r>
          </w:p>
        </w:tc>
      </w:tr>
      <w:tr>
        <w:tc>
          <w:tcPr>
            <w:tcW w:type="dxa" w:w="900"/>
            <w:tcMar>
              <w:top w:type="dxa" w:w="80"/>
              <w:left w:type="dxa" w:w="100"/>
              <w:bottom w:type="dxa" w:w="80"/>
              <w:right w:type="dxa" w:w="100"/>
            </w:tcMar>
          </w:tcPr>
          <w:p>
            <w:pPr>
              <w:jc w:val="left"/>
            </w:pPr>
            <w:r>
              <w:rPr>
                <w:b w:val="false"/>
                <w:bCs w:val="false"/>
                <w:color w:val="1F2937"/>
                <w:sz w:val="20"/>
                <w:szCs w:val="20"/>
              </w:rPr>
              <w:t xml:space="preserve">2</w:t>
            </w:r>
          </w:p>
        </w:tc>
        <w:tc>
          <w:tcPr>
            <w:tcW w:type="dxa" w:w="3000"/>
            <w:tcMar>
              <w:top w:type="dxa" w:w="80"/>
              <w:left w:type="dxa" w:w="100"/>
              <w:bottom w:type="dxa" w:w="80"/>
              <w:right w:type="dxa" w:w="100"/>
            </w:tcMar>
          </w:tcPr>
          <w:p>
            <w:pPr>
              <w:jc w:val="left"/>
            </w:pPr>
            <w:r>
              <w:rPr>
                <w:b w:val="false"/>
                <w:bCs w:val="false"/>
                <w:color w:val="1F2937"/>
                <w:sz w:val="20"/>
                <w:szCs w:val="20"/>
              </w:rPr>
              <w:t xml:space="preserve">Taux de base réels (remplacer la confiance inventée)</w:t>
            </w:r>
          </w:p>
        </w:tc>
        <w:tc>
          <w:tcPr>
            <w:tcW w:type="dxa" w:w="1600"/>
            <w:tcMar>
              <w:top w:type="dxa" w:w="80"/>
              <w:left w:type="dxa" w:w="100"/>
              <w:bottom w:type="dxa" w:w="80"/>
              <w:right w:type="dxa" w:w="100"/>
            </w:tcMar>
          </w:tcPr>
          <w:p>
            <w:pPr>
              <w:jc w:val="left"/>
            </w:pPr>
            <w:r>
              <w:rPr>
                <w:b/>
                <w:bCs/>
                <w:color w:val="1E7B34"/>
                <w:sz w:val="20"/>
                <w:szCs w:val="20"/>
              </w:rPr>
              <w:t xml:space="preserve">Fait</w:t>
            </w:r>
          </w:p>
        </w:tc>
        <w:tc>
          <w:tcPr>
            <w:tcW w:type="dxa" w:w="3860"/>
            <w:tcMar>
              <w:top w:type="dxa" w:w="80"/>
              <w:left w:type="dxa" w:w="100"/>
              <w:bottom w:type="dxa" w:w="80"/>
              <w:right w:type="dxa" w:w="100"/>
            </w:tcMar>
          </w:tcPr>
          <w:p>
            <w:pPr>
              <w:jc w:val="left"/>
            </w:pPr>
            <w:r>
              <w:rPr>
                <w:b w:val="false"/>
                <w:bCs w:val="false"/>
                <w:color w:val="1F2937"/>
                <w:sz w:val="20"/>
                <w:szCs w:val="20"/>
              </w:rPr>
              <w:t xml:space="preserve">base-rates.calculator.ts, entité base_rate, scheduler mensuel et specs livrés (commit LOT 2).</w:t>
            </w:r>
          </w:p>
        </w:tc>
      </w:tr>
      <w:tr>
        <w:tc>
          <w:tcPr>
            <w:tcW w:type="dxa" w:w="900"/>
            <w:shd w:fill="F3F4F6" w:color="auto" w:val="clear"/>
            <w:tcMar>
              <w:top w:type="dxa" w:w="80"/>
              <w:left w:type="dxa" w:w="100"/>
              <w:bottom w:type="dxa" w:w="80"/>
              <w:right w:type="dxa" w:w="100"/>
            </w:tcMar>
          </w:tcPr>
          <w:p>
            <w:pPr>
              <w:jc w:val="left"/>
            </w:pPr>
            <w:r>
              <w:rPr>
                <w:b w:val="false"/>
                <w:bCs w:val="false"/>
                <w:color w:val="1F2937"/>
                <w:sz w:val="20"/>
                <w:szCs w:val="20"/>
              </w:rPr>
              <w:t xml:space="preserve">3</w:t>
            </w:r>
          </w:p>
        </w:tc>
        <w:tc>
          <w:tcPr>
            <w:tcW w:type="dxa" w:w="3000"/>
            <w:shd w:fill="F3F4F6" w:color="auto" w:val="clear"/>
            <w:tcMar>
              <w:top w:type="dxa" w:w="80"/>
              <w:left w:type="dxa" w:w="100"/>
              <w:bottom w:type="dxa" w:w="80"/>
              <w:right w:type="dxa" w:w="100"/>
            </w:tcMar>
          </w:tcPr>
          <w:p>
            <w:pPr>
              <w:jc w:val="left"/>
            </w:pPr>
            <w:r>
              <w:rPr>
                <w:b w:val="false"/>
                <w:bCs w:val="false"/>
                <w:color w:val="1F2937"/>
                <w:sz w:val="20"/>
                <w:szCs w:val="20"/>
              </w:rPr>
              <w:t xml:space="preserve">Qualité du signal (tirs cadrés / pressureIndex, score au match)</w:t>
            </w:r>
          </w:p>
        </w:tc>
        <w:tc>
          <w:tcPr>
            <w:tcW w:type="dxa" w:w="1600"/>
            <w:shd w:fill="F3F4F6" w:color="auto" w:val="clear"/>
            <w:tcMar>
              <w:top w:type="dxa" w:w="80"/>
              <w:left w:type="dxa" w:w="100"/>
              <w:bottom w:type="dxa" w:w="80"/>
              <w:right w:type="dxa" w:w="100"/>
            </w:tcMar>
          </w:tcPr>
          <w:p>
            <w:pPr>
              <w:jc w:val="left"/>
            </w:pPr>
            <w:r>
              <w:rPr>
                <w:b/>
                <w:bCs/>
                <w:color w:val="1E7B34"/>
                <w:sz w:val="20"/>
                <w:szCs w:val="20"/>
              </w:rPr>
              <w:t xml:space="preserve">Fait</w:t>
            </w:r>
          </w:p>
        </w:tc>
        <w:tc>
          <w:tcPr>
            <w:tcW w:type="dxa" w:w="3860"/>
            <w:shd w:fill="F3F4F6" w:color="auto" w:val="clear"/>
            <w:tcMar>
              <w:top w:type="dxa" w:w="80"/>
              <w:left w:type="dxa" w:w="100"/>
              <w:bottom w:type="dxa" w:w="80"/>
              <w:right w:type="dxa" w:w="100"/>
            </w:tcMar>
          </w:tcPr>
          <w:p>
            <w:pPr>
              <w:jc w:val="left"/>
            </w:pPr>
            <w:r>
              <w:rPr>
                <w:b w:val="false"/>
                <w:bCs w:val="false"/>
                <w:color w:val="1F2937"/>
                <w:sz w:val="20"/>
                <w:szCs w:val="20"/>
              </w:rPr>
              <w:t xml:space="preserve">rules-evaluator.ts expose désormais signal configurable (TOTAL_SHOTS / ON_TARGET / PRESSURE_INDEX) et scoreHome/scoreAway (commit LOT 3, dernier commit du dépôt).</w:t>
            </w:r>
          </w:p>
        </w:tc>
      </w:tr>
      <w:tr>
        <w:tc>
          <w:tcPr>
            <w:tcW w:type="dxa" w:w="900"/>
            <w:tcMar>
              <w:top w:type="dxa" w:w="80"/>
              <w:left w:type="dxa" w:w="100"/>
              <w:bottom w:type="dxa" w:w="80"/>
              <w:right w:type="dxa" w:w="100"/>
            </w:tcMar>
          </w:tcPr>
          <w:p>
            <w:pPr>
              <w:jc w:val="left"/>
            </w:pPr>
            <w:r>
              <w:rPr>
                <w:b w:val="false"/>
                <w:bCs w:val="false"/>
                <w:color w:val="1F2937"/>
                <w:sz w:val="20"/>
                <w:szCs w:val="20"/>
              </w:rPr>
              <w:t xml:space="preserve">4</w:t>
            </w:r>
          </w:p>
        </w:tc>
        <w:tc>
          <w:tcPr>
            <w:tcW w:type="dxa" w:w="3000"/>
            <w:tcMar>
              <w:top w:type="dxa" w:w="80"/>
              <w:left w:type="dxa" w:w="100"/>
              <w:bottom w:type="dxa" w:w="80"/>
              <w:right w:type="dxa" w:w="100"/>
            </w:tcMar>
          </w:tcPr>
          <w:p>
            <w:pPr>
              <w:jc w:val="left"/>
            </w:pPr>
            <w:r>
              <w:rPr>
                <w:b w:val="false"/>
                <w:bCs w:val="false"/>
                <w:color w:val="1F2937"/>
                <w:sz w:val="20"/>
                <w:szCs w:val="20"/>
              </w:rPr>
              <w:t xml:space="preserve">Interface honnête + bouton « tester en backtest »</w:t>
            </w:r>
          </w:p>
        </w:tc>
        <w:tc>
          <w:tcPr>
            <w:tcW w:type="dxa" w:w="1600"/>
            <w:tcMar>
              <w:top w:type="dxa" w:w="80"/>
              <w:left w:type="dxa" w:w="100"/>
              <w:bottom w:type="dxa" w:w="80"/>
              <w:right w:type="dxa" w:w="100"/>
            </w:tcMar>
          </w:tcPr>
          <w:p>
            <w:pPr>
              <w:jc w:val="left"/>
            </w:pPr>
            <w:r>
              <w:rPr>
                <w:b/>
                <w:bCs/>
                <w:color w:val="B91C1C"/>
                <w:sz w:val="20"/>
                <w:szCs w:val="20"/>
              </w:rPr>
              <w:t xml:space="preserve">À faire</w:t>
            </w:r>
          </w:p>
        </w:tc>
        <w:tc>
          <w:tcPr>
            <w:tcW w:type="dxa" w:w="3860"/>
            <w:tcMar>
              <w:top w:type="dxa" w:w="80"/>
              <w:left w:type="dxa" w:w="100"/>
              <w:bottom w:type="dxa" w:w="80"/>
              <w:right w:type="dxa" w:w="100"/>
            </w:tcMar>
          </w:tcPr>
          <w:p>
            <w:pPr>
              <w:jc w:val="left"/>
            </w:pPr>
            <w:r>
              <w:rPr>
                <w:b w:val="false"/>
                <w:bCs w:val="false"/>
                <w:color w:val="1F2937"/>
                <w:sz w:val="20"/>
                <w:szCs w:val="20"/>
              </w:rPr>
              <w:t xml:space="preserve">front/app/parametres/page.tsx affiche toujours « Edge % » et « Confiance » comme champs éditables ; aucun appel à /v1/audit/backtest trouvé dans cette page.</w:t>
            </w:r>
          </w:p>
        </w:tc>
      </w:tr>
      <w:tr>
        <w:tc>
          <w:tcPr>
            <w:tcW w:type="dxa" w:w="900"/>
            <w:shd w:fill="F3F4F6" w:color="auto" w:val="clear"/>
            <w:tcMar>
              <w:top w:type="dxa" w:w="80"/>
              <w:left w:type="dxa" w:w="100"/>
              <w:bottom w:type="dxa" w:w="80"/>
              <w:right w:type="dxa" w:w="100"/>
            </w:tcMar>
          </w:tcPr>
          <w:p>
            <w:pPr>
              <w:jc w:val="left"/>
            </w:pPr>
            <w:r>
              <w:rPr>
                <w:b w:val="false"/>
                <w:bCs w:val="false"/>
                <w:color w:val="1F2937"/>
                <w:sz w:val="20"/>
                <w:szCs w:val="20"/>
              </w:rPr>
              <w:t xml:space="preserve">5</w:t>
            </w:r>
          </w:p>
        </w:tc>
        <w:tc>
          <w:tcPr>
            <w:tcW w:type="dxa" w:w="3000"/>
            <w:shd w:fill="F3F4F6" w:color="auto" w:val="clear"/>
            <w:tcMar>
              <w:top w:type="dxa" w:w="80"/>
              <w:left w:type="dxa" w:w="100"/>
              <w:bottom w:type="dxa" w:w="80"/>
              <w:right w:type="dxa" w:w="100"/>
            </w:tcMar>
          </w:tcPr>
          <w:p>
            <w:pPr>
              <w:jc w:val="left"/>
            </w:pPr>
            <w:r>
              <w:rPr>
                <w:b w:val="false"/>
                <w:bCs w:val="false"/>
                <w:color w:val="1F2937"/>
                <w:sz w:val="20"/>
                <w:szCs w:val="20"/>
              </w:rPr>
              <w:t xml:space="preserve">Mesure du rappel (recall) en plus du hit-rate</w:t>
            </w:r>
          </w:p>
        </w:tc>
        <w:tc>
          <w:tcPr>
            <w:tcW w:type="dxa" w:w="1600"/>
            <w:shd w:fill="F3F4F6" w:color="auto" w:val="clear"/>
            <w:tcMar>
              <w:top w:type="dxa" w:w="80"/>
              <w:left w:type="dxa" w:w="100"/>
              <w:bottom w:type="dxa" w:w="80"/>
              <w:right w:type="dxa" w:w="100"/>
            </w:tcMar>
          </w:tcPr>
          <w:p>
            <w:pPr>
              <w:jc w:val="left"/>
            </w:pPr>
            <w:r>
              <w:rPr>
                <w:b/>
                <w:bCs/>
                <w:color w:val="B91C1C"/>
                <w:sz w:val="20"/>
                <w:szCs w:val="20"/>
              </w:rPr>
              <w:t xml:space="preserve">À faire</w:t>
            </w:r>
          </w:p>
        </w:tc>
        <w:tc>
          <w:tcPr>
            <w:tcW w:type="dxa" w:w="3860"/>
            <w:shd w:fill="F3F4F6" w:color="auto" w:val="clear"/>
            <w:tcMar>
              <w:top w:type="dxa" w:w="80"/>
              <w:left w:type="dxa" w:w="100"/>
              <w:bottom w:type="dxa" w:w="80"/>
              <w:right w:type="dxa" w:w="100"/>
            </w:tcMar>
          </w:tcPr>
          <w:p>
            <w:pPr>
              <w:jc w:val="left"/>
            </w:pPr>
            <w:r>
              <w:rPr>
                <w:b w:val="false"/>
                <w:bCs w:val="false"/>
                <w:color w:val="1F2937"/>
                <w:sz w:val="20"/>
                <w:szCs w:val="20"/>
              </w:rPr>
              <w:t xml:space="preserve">Aucune occurrence de recallPct / alertsPerMatch / missedEvents dans backend/src/backtest.</w:t>
            </w:r>
          </w:p>
        </w:tc>
      </w:tr>
      <w:tr>
        <w:tc>
          <w:tcPr>
            <w:tcW w:type="dxa" w:w="900"/>
            <w:tcMar>
              <w:top w:type="dxa" w:w="80"/>
              <w:left w:type="dxa" w:w="100"/>
              <w:bottom w:type="dxa" w:w="80"/>
              <w:right w:type="dxa" w:w="100"/>
            </w:tcMar>
          </w:tcPr>
          <w:p>
            <w:pPr>
              <w:jc w:val="left"/>
            </w:pPr>
            <w:r>
              <w:rPr>
                <w:b w:val="false"/>
                <w:bCs w:val="false"/>
                <w:color w:val="1F2937"/>
                <w:sz w:val="20"/>
                <w:szCs w:val="20"/>
              </w:rPr>
              <w:t xml:space="preserve">6</w:t>
            </w:r>
          </w:p>
        </w:tc>
        <w:tc>
          <w:tcPr>
            <w:tcW w:type="dxa" w:w="3000"/>
            <w:tcMar>
              <w:top w:type="dxa" w:w="80"/>
              <w:left w:type="dxa" w:w="100"/>
              <w:bottom w:type="dxa" w:w="80"/>
              <w:right w:type="dxa" w:w="100"/>
            </w:tcMar>
          </w:tcPr>
          <w:p>
            <w:pPr>
              <w:jc w:val="left"/>
            </w:pPr>
            <w:r>
              <w:rPr>
                <w:b w:val="false"/>
                <w:bCs w:val="false"/>
                <w:color w:val="1F2937"/>
                <w:sz w:val="20"/>
                <w:szCs w:val="20"/>
              </w:rPr>
              <w:t xml:space="preserve">Classement pré-match (potentiel de buts par match du jour)</w:t>
            </w:r>
          </w:p>
        </w:tc>
        <w:tc>
          <w:tcPr>
            <w:tcW w:type="dxa" w:w="1600"/>
            <w:tcMar>
              <w:top w:type="dxa" w:w="80"/>
              <w:left w:type="dxa" w:w="100"/>
              <w:bottom w:type="dxa" w:w="80"/>
              <w:right w:type="dxa" w:w="100"/>
            </w:tcMar>
          </w:tcPr>
          <w:p>
            <w:pPr>
              <w:jc w:val="left"/>
            </w:pPr>
            <w:r>
              <w:rPr>
                <w:b/>
                <w:bCs/>
                <w:color w:val="B91C1C"/>
                <w:sz w:val="20"/>
                <w:szCs w:val="20"/>
              </w:rPr>
              <w:t xml:space="preserve">À faire</w:t>
            </w:r>
          </w:p>
        </w:tc>
        <w:tc>
          <w:tcPr>
            <w:tcW w:type="dxa" w:w="3860"/>
            <w:tcMar>
              <w:top w:type="dxa" w:w="80"/>
              <w:left w:type="dxa" w:w="100"/>
              <w:bottom w:type="dxa" w:w="80"/>
              <w:right w:type="dxa" w:w="100"/>
            </w:tcMar>
          </w:tcPr>
          <w:p>
            <w:pPr>
              <w:jc w:val="left"/>
            </w:pPr>
            <w:r>
              <w:rPr>
                <w:b w:val="false"/>
                <w:bCs w:val="false"/>
                <w:color w:val="1F2937"/>
                <w:sz w:val="20"/>
                <w:szCs w:val="20"/>
              </w:rPr>
              <w:t xml:space="preserve">Aucune entité team_profiles ni service match-ranking / daily-ranking trouvés.</w:t>
            </w:r>
          </w:p>
        </w:tc>
      </w:tr>
      <w:tr>
        <w:tc>
          <w:tcPr>
            <w:tcW w:type="dxa" w:w="900"/>
            <w:shd w:fill="F3F4F6" w:color="auto" w:val="clear"/>
            <w:tcMar>
              <w:top w:type="dxa" w:w="80"/>
              <w:left w:type="dxa" w:w="100"/>
              <w:bottom w:type="dxa" w:w="80"/>
              <w:right w:type="dxa" w:w="100"/>
            </w:tcMar>
          </w:tcPr>
          <w:p>
            <w:pPr>
              <w:jc w:val="left"/>
            </w:pPr>
            <w:r>
              <w:rPr>
                <w:b w:val="false"/>
                <w:bCs w:val="false"/>
                <w:color w:val="1F2937"/>
                <w:sz w:val="20"/>
                <w:szCs w:val="20"/>
              </w:rPr>
              <w:t xml:space="preserve">7</w:t>
            </w:r>
          </w:p>
        </w:tc>
        <w:tc>
          <w:tcPr>
            <w:tcW w:type="dxa" w:w="3000"/>
            <w:shd w:fill="F3F4F6" w:color="auto" w:val="clear"/>
            <w:tcMar>
              <w:top w:type="dxa" w:w="80"/>
              <w:left w:type="dxa" w:w="100"/>
              <w:bottom w:type="dxa" w:w="80"/>
              <w:right w:type="dxa" w:w="100"/>
            </w:tcMar>
          </w:tcPr>
          <w:p>
            <w:pPr>
              <w:jc w:val="left"/>
            </w:pPr>
            <w:r>
              <w:rPr>
                <w:b w:val="false"/>
                <w:bCs w:val="false"/>
                <w:color w:val="1F2937"/>
                <w:sz w:val="20"/>
                <w:szCs w:val="20"/>
              </w:rPr>
              <w:t xml:space="preserve">Filtrage des championnats (qualité de données)</w:t>
            </w:r>
          </w:p>
        </w:tc>
        <w:tc>
          <w:tcPr>
            <w:tcW w:type="dxa" w:w="1600"/>
            <w:shd w:fill="F3F4F6" w:color="auto" w:val="clear"/>
            <w:tcMar>
              <w:top w:type="dxa" w:w="80"/>
              <w:left w:type="dxa" w:w="100"/>
              <w:bottom w:type="dxa" w:w="80"/>
              <w:right w:type="dxa" w:w="100"/>
            </w:tcMar>
          </w:tcPr>
          <w:p>
            <w:pPr>
              <w:jc w:val="left"/>
            </w:pPr>
            <w:r>
              <w:rPr>
                <w:b/>
                <w:bCs/>
                <w:color w:val="B45309"/>
                <w:sz w:val="20"/>
                <w:szCs w:val="20"/>
              </w:rPr>
              <w:t xml:space="preserve">Partiel</w:t>
            </w:r>
          </w:p>
        </w:tc>
        <w:tc>
          <w:tcPr>
            <w:tcW w:type="dxa" w:w="3860"/>
            <w:shd w:fill="F3F4F6" w:color="auto" w:val="clear"/>
            <w:tcMar>
              <w:top w:type="dxa" w:w="80"/>
              <w:left w:type="dxa" w:w="100"/>
              <w:bottom w:type="dxa" w:w="80"/>
              <w:right w:type="dxa" w:w="100"/>
            </w:tcMar>
          </w:tcPr>
          <w:p>
            <w:pPr>
              <w:jc w:val="left"/>
            </w:pPr>
            <w:r>
              <w:rPr>
                <w:b w:val="false"/>
                <w:bCs w:val="false"/>
                <w:color w:val="1F2937"/>
                <w:sz w:val="20"/>
                <w:szCs w:val="20"/>
              </w:rPr>
              <w:t xml:space="preserve">L'entité league_watchlist existe (posée au LOT 1) mais n'est référencée ni dans le scheduler de sync live ni dans le service de suggestions : le filtre n'est pas encore appliqué.</w:t>
            </w:r>
          </w:p>
        </w:tc>
      </w:tr>
    </w:tbl>
    <w:p>
      <w:pPr>
        <w:spacing w:after="160" w:line="300"/>
      </w:pPr>
      <w:r>
        <w:rPr>
          <w:color w:val="1F2937"/>
          <w:sz w:val="21"/>
          <w:szCs w:val="21"/>
        </w:rPr>
        <w:t xml:space="preserve"/>
      </w:r>
    </w:p>
    <w:p>
      <w:pPr>
        <w:spacing w:after="160" w:line="300"/>
      </w:pPr>
      <w:r>
        <w:rPr>
          <w:color w:val="1F2937"/>
          <w:sz w:val="21"/>
          <w:szCs w:val="21"/>
        </w:rPr>
        <w:t xml:space="preserve">Le module Odds (Phase 1 de l'ancienne roadmap) est construit et fonctionnel mais volontairement désactivé (ODDS_SYNC_ENABLED=false) : dans le nouveau positionnement « scanner », les cotes réelles ne sont plus indispensables au fonctionnement, elles restent une option secondaire pour donner un ordre de grandeur ou comparer plus tard les alertes au marché.</w:t>
      </w:r>
    </w:p>
    <w:p>
      <w:pPr>
        <w:pStyle w:val="Heading1"/>
        <w:pBdr>
          <w:bottom w:val="single" w:color="2563EB" w:sz="6" w:space="4"/>
        </w:pBdr>
        <w:spacing w:after="160" w:before="360"/>
      </w:pPr>
      <w:r>
        <w:rPr>
          <w:b/>
          <w:bCs/>
          <w:color w:val="1F2937"/>
          <w:sz w:val="30"/>
          <w:szCs w:val="30"/>
        </w:rPr>
        <w:t xml:space="preserve">5. Santé du code et de la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2937" w:color="auto" w:val="clear"/>
            <w:tcMar>
              <w:top w:type="dxa" w:w="80"/>
              <w:left w:type="dxa" w:w="100"/>
              <w:bottom w:type="dxa" w:w="80"/>
              <w:right w:type="dxa" w:w="100"/>
            </w:tcMar>
          </w:tcPr>
          <w:p>
            <w:pPr>
              <w:jc w:val="left"/>
            </w:pPr>
            <w:r>
              <w:rPr>
                <w:b/>
                <w:bCs/>
                <w:color w:val="FFFFFF"/>
                <w:sz w:val="20"/>
                <w:szCs w:val="20"/>
              </w:rPr>
              <w:t xml:space="preserve">Indicateur</w:t>
            </w:r>
          </w:p>
        </w:tc>
        <w:tc>
          <w:tcPr>
            <w:tcW w:type="dxa" w:w="3480"/>
            <w:shd w:fill="1F2937" w:color="auto" w:val="clear"/>
            <w:tcMar>
              <w:top w:type="dxa" w:w="80"/>
              <w:left w:type="dxa" w:w="100"/>
              <w:bottom w:type="dxa" w:w="80"/>
              <w:right w:type="dxa" w:w="100"/>
            </w:tcMar>
          </w:tcPr>
          <w:p>
            <w:pPr>
              <w:jc w:val="left"/>
            </w:pPr>
            <w:r>
              <w:rPr>
                <w:b/>
                <w:bCs/>
                <w:color w:val="FFFFFF"/>
                <w:sz w:val="20"/>
                <w:szCs w:val="20"/>
              </w:rPr>
              <w:t xml:space="preserve">Constat en juin 2026 (AUDIT.md)</w:t>
            </w:r>
          </w:p>
        </w:tc>
        <w:tc>
          <w:tcPr>
            <w:tcW w:type="dxa" w:w="3480"/>
            <w:shd w:fill="1F2937" w:color="auto" w:val="clear"/>
            <w:tcMar>
              <w:top w:type="dxa" w:w="80"/>
              <w:left w:type="dxa" w:w="100"/>
              <w:bottom w:type="dxa" w:w="80"/>
              <w:right w:type="dxa" w:w="100"/>
            </w:tcMar>
          </w:tcPr>
          <w:p>
            <w:pPr>
              <w:jc w:val="left"/>
            </w:pPr>
            <w:r>
              <w:rPr>
                <w:b/>
                <w:bCs/>
                <w:color w:val="FFFFFF"/>
                <w:sz w:val="20"/>
                <w:szCs w:val="20"/>
              </w:rPr>
              <w:t xml:space="preserve">Constat actuel</w:t>
            </w:r>
          </w:p>
        </w:tc>
      </w:tr>
      <w:tr>
        <w:tc>
          <w:tcPr>
            <w:tcW w:type="dxa" w:w="2400"/>
            <w:tcMar>
              <w:top w:type="dxa" w:w="80"/>
              <w:left w:type="dxa" w:w="100"/>
              <w:bottom w:type="dxa" w:w="80"/>
              <w:right w:type="dxa" w:w="100"/>
            </w:tcMar>
          </w:tcPr>
          <w:p>
            <w:pPr>
              <w:jc w:val="left"/>
            </w:pPr>
            <w:r>
              <w:rPr>
                <w:b w:val="false"/>
                <w:bCs w:val="false"/>
                <w:color w:val="1F2937"/>
                <w:sz w:val="20"/>
                <w:szCs w:val="20"/>
              </w:rPr>
              <w:t xml:space="preserve">Couverture de tests</w:t>
            </w:r>
          </w:p>
        </w:tc>
        <w:tc>
          <w:tcPr>
            <w:tcW w:type="dxa" w:w="3480"/>
            <w:tcMar>
              <w:top w:type="dxa" w:w="80"/>
              <w:left w:type="dxa" w:w="100"/>
              <w:bottom w:type="dxa" w:w="80"/>
              <w:right w:type="dxa" w:w="100"/>
            </w:tcMar>
          </w:tcPr>
          <w:p>
            <w:pPr>
              <w:jc w:val="left"/>
            </w:pPr>
            <w:r>
              <w:rPr>
                <w:b w:val="false"/>
                <w:bCs w:val="false"/>
                <w:color w:val="1F2937"/>
                <w:sz w:val="20"/>
                <w:szCs w:val="20"/>
              </w:rPr>
              <w:t xml:space="preserve">0 % — aucun fichier .spec.ts</w:t>
            </w:r>
          </w:p>
        </w:tc>
        <w:tc>
          <w:tcPr>
            <w:tcW w:type="dxa" w:w="3480"/>
            <w:tcMar>
              <w:top w:type="dxa" w:w="80"/>
              <w:left w:type="dxa" w:w="100"/>
              <w:bottom w:type="dxa" w:w="80"/>
              <w:right w:type="dxa" w:w="100"/>
            </w:tcMar>
          </w:tcPr>
          <w:p>
            <w:pPr>
              <w:jc w:val="left"/>
            </w:pPr>
            <w:r>
              <w:rPr>
                <w:b w:val="false"/>
                <w:bCs w:val="false"/>
                <w:color w:val="1F2937"/>
                <w:sz w:val="20"/>
                <w:szCs w:val="20"/>
              </w:rPr>
              <w:t xml:space="preserve">14 fichiers de tests couvrant les modules critiques (règles, backtest, odds, historique, taux de base, nettoyage, guard d'authentification)</w:t>
            </w:r>
          </w:p>
        </w:tc>
      </w:tr>
      <w:tr>
        <w:tc>
          <w:tcPr>
            <w:tcW w:type="dxa" w:w="2400"/>
            <w:shd w:fill="F3F4F6" w:color="auto" w:val="clear"/>
            <w:tcMar>
              <w:top w:type="dxa" w:w="80"/>
              <w:left w:type="dxa" w:w="100"/>
              <w:bottom w:type="dxa" w:w="80"/>
              <w:right w:type="dxa" w:w="100"/>
            </w:tcMar>
          </w:tcPr>
          <w:p>
            <w:pPr>
              <w:jc w:val="left"/>
            </w:pPr>
            <w:r>
              <w:rPr>
                <w:b w:val="false"/>
                <w:bCs w:val="false"/>
                <w:color w:val="1F2937"/>
                <w:sz w:val="20"/>
                <w:szCs w:val="20"/>
              </w:rPr>
              <w:t xml:space="preserve">Authentification API</w:t>
            </w:r>
          </w:p>
        </w:tc>
        <w:tc>
          <w:tcPr>
            <w:tcW w:type="dxa" w:w="3480"/>
            <w:shd w:fill="F3F4F6" w:color="auto" w:val="clear"/>
            <w:tcMar>
              <w:top w:type="dxa" w:w="80"/>
              <w:left w:type="dxa" w:w="100"/>
              <w:bottom w:type="dxa" w:w="80"/>
              <w:right w:type="dxa" w:w="100"/>
            </w:tcMar>
          </w:tcPr>
          <w:p>
            <w:pPr>
              <w:jc w:val="left"/>
            </w:pPr>
            <w:r>
              <w:rPr>
                <w:b w:val="false"/>
                <w:bCs w:val="false"/>
                <w:color w:val="1F2937"/>
                <w:sz w:val="20"/>
                <w:szCs w:val="20"/>
              </w:rPr>
              <w:t xml:space="preserve">Aucune — API totalement publique</w:t>
            </w:r>
          </w:p>
        </w:tc>
        <w:tc>
          <w:tcPr>
            <w:tcW w:type="dxa" w:w="3480"/>
            <w:shd w:fill="F3F4F6" w:color="auto" w:val="clear"/>
            <w:tcMar>
              <w:top w:type="dxa" w:w="80"/>
              <w:left w:type="dxa" w:w="100"/>
              <w:bottom w:type="dxa" w:w="80"/>
              <w:right w:type="dxa" w:w="100"/>
            </w:tcMar>
          </w:tcPr>
          <w:p>
            <w:pPr>
              <w:jc w:val="left"/>
            </w:pPr>
            <w:r>
              <w:rPr>
                <w:b w:val="false"/>
                <w:bCs w:val="false"/>
                <w:color w:val="1F2937"/>
                <w:sz w:val="20"/>
                <w:szCs w:val="20"/>
              </w:rPr>
              <w:t xml:space="preserve">Guard de clé API (api-key.guard.ts) + tests dédiés</w:t>
            </w:r>
          </w:p>
        </w:tc>
      </w:tr>
      <w:tr>
        <w:tc>
          <w:tcPr>
            <w:tcW w:type="dxa" w:w="2400"/>
            <w:tcMar>
              <w:top w:type="dxa" w:w="80"/>
              <w:left w:type="dxa" w:w="100"/>
              <w:bottom w:type="dxa" w:w="80"/>
              <w:right w:type="dxa" w:w="100"/>
            </w:tcMar>
          </w:tcPr>
          <w:p>
            <w:pPr>
              <w:jc w:val="left"/>
            </w:pPr>
            <w:r>
              <w:rPr>
                <w:b w:val="false"/>
                <w:bCs w:val="false"/>
                <w:color w:val="1F2937"/>
                <w:sz w:val="20"/>
                <w:szCs w:val="20"/>
              </w:rPr>
              <w:t xml:space="preserve">Intégration continue</w:t>
            </w:r>
          </w:p>
        </w:tc>
        <w:tc>
          <w:tcPr>
            <w:tcW w:type="dxa" w:w="3480"/>
            <w:tcMar>
              <w:top w:type="dxa" w:w="80"/>
              <w:left w:type="dxa" w:w="100"/>
              <w:bottom w:type="dxa" w:w="80"/>
              <w:right w:type="dxa" w:w="100"/>
            </w:tcMar>
          </w:tcPr>
          <w:p>
            <w:pPr>
              <w:jc w:val="left"/>
            </w:pPr>
            <w:r>
              <w:rPr>
                <w:b w:val="false"/>
                <w:bCs w:val="false"/>
                <w:color w:val="1F2937"/>
                <w:sz w:val="20"/>
                <w:szCs w:val="20"/>
              </w:rPr>
              <w:t xml:space="preserve">Absente au moment de l'audit initial</w:t>
            </w:r>
          </w:p>
        </w:tc>
        <w:tc>
          <w:tcPr>
            <w:tcW w:type="dxa" w:w="3480"/>
            <w:tcMar>
              <w:top w:type="dxa" w:w="80"/>
              <w:left w:type="dxa" w:w="100"/>
              <w:bottom w:type="dxa" w:w="80"/>
              <w:right w:type="dxa" w:w="100"/>
            </w:tcMar>
          </w:tcPr>
          <w:p>
            <w:pPr>
              <w:jc w:val="left"/>
            </w:pPr>
            <w:r>
              <w:rPr>
                <w:b w:val="false"/>
                <w:bCs w:val="false"/>
                <w:color w:val="1F2937"/>
                <w:sz w:val="20"/>
                <w:szCs w:val="20"/>
              </w:rPr>
              <w:t xml:space="preserve">Workflow GitHub Actions : lint + build + tests sur chaque PR et sur master</w:t>
            </w:r>
          </w:p>
        </w:tc>
      </w:tr>
      <w:tr>
        <w:tc>
          <w:tcPr>
            <w:tcW w:type="dxa" w:w="2400"/>
            <w:shd w:fill="F3F4F6" w:color="auto" w:val="clear"/>
            <w:tcMar>
              <w:top w:type="dxa" w:w="80"/>
              <w:left w:type="dxa" w:w="100"/>
              <w:bottom w:type="dxa" w:w="80"/>
              <w:right w:type="dxa" w:w="100"/>
            </w:tcMar>
          </w:tcPr>
          <w:p>
            <w:pPr>
              <w:jc w:val="left"/>
            </w:pPr>
            <w:r>
              <w:rPr>
                <w:b w:val="false"/>
                <w:bCs w:val="false"/>
                <w:color w:val="1F2937"/>
                <w:sz w:val="20"/>
                <w:szCs w:val="20"/>
              </w:rPr>
              <w:t xml:space="preserve">Migrations</w:t>
            </w:r>
          </w:p>
        </w:tc>
        <w:tc>
          <w:tcPr>
            <w:tcW w:type="dxa" w:w="3480"/>
            <w:shd w:fill="F3F4F6" w:color="auto" w:val="clear"/>
            <w:tcMar>
              <w:top w:type="dxa" w:w="80"/>
              <w:left w:type="dxa" w:w="100"/>
              <w:bottom w:type="dxa" w:w="80"/>
              <w:right w:type="dxa" w:w="100"/>
            </w:tcMar>
          </w:tcPr>
          <w:p>
            <w:pPr>
              <w:jc w:val="left"/>
            </w:pPr>
            <w:r>
              <w:rPr>
                <w:b w:val="false"/>
                <w:bCs w:val="false"/>
                <w:color w:val="1F2937"/>
                <w:sz w:val="20"/>
                <w:szCs w:val="20"/>
              </w:rPr>
              <w:t xml:space="preserve">14</w:t>
            </w:r>
          </w:p>
        </w:tc>
        <w:tc>
          <w:tcPr>
            <w:tcW w:type="dxa" w:w="3480"/>
            <w:shd w:fill="F3F4F6" w:color="auto" w:val="clear"/>
            <w:tcMar>
              <w:top w:type="dxa" w:w="80"/>
              <w:left w:type="dxa" w:w="100"/>
              <w:bottom w:type="dxa" w:w="80"/>
              <w:right w:type="dxa" w:w="100"/>
            </w:tcMar>
          </w:tcPr>
          <w:p>
            <w:pPr>
              <w:jc w:val="left"/>
            </w:pPr>
            <w:r>
              <w:rPr>
                <w:b w:val="false"/>
                <w:bCs w:val="false"/>
                <w:color w:val="1F2937"/>
                <w:sz w:val="20"/>
                <w:szCs w:val="20"/>
              </w:rPr>
              <w:t xml:space="preserve">21 (odds, backtest, historique, taux de base, watchlist, etc.)</w:t>
            </w:r>
          </w:p>
        </w:tc>
      </w:tr>
      <w:tr>
        <w:tc>
          <w:tcPr>
            <w:tcW w:type="dxa" w:w="2400"/>
            <w:tcMar>
              <w:top w:type="dxa" w:w="80"/>
              <w:left w:type="dxa" w:w="100"/>
              <w:bottom w:type="dxa" w:w="80"/>
              <w:right w:type="dxa" w:w="100"/>
            </w:tcMar>
          </w:tcPr>
          <w:p>
            <w:pPr>
              <w:jc w:val="left"/>
            </w:pPr>
            <w:r>
              <w:rPr>
                <w:b w:val="false"/>
                <w:bCs w:val="false"/>
                <w:color w:val="1F2937"/>
                <w:sz w:val="20"/>
                <w:szCs w:val="20"/>
              </w:rPr>
              <w:t xml:space="preserve">Bugs P1 relevés en juin</w:t>
            </w:r>
          </w:p>
        </w:tc>
        <w:tc>
          <w:tcPr>
            <w:tcW w:type="dxa" w:w="3480"/>
            <w:tcMar>
              <w:top w:type="dxa" w:w="80"/>
              <w:left w:type="dxa" w:w="100"/>
              <w:bottom w:type="dxa" w:w="80"/>
              <w:right w:type="dxa" w:w="100"/>
            </w:tcMar>
          </w:tcPr>
          <w:p>
            <w:pPr>
              <w:jc w:val="left"/>
            </w:pPr>
            <w:r>
              <w:rPr>
                <w:b w:val="false"/>
                <w:bCs w:val="false"/>
                <w:color w:val="1F2937"/>
                <w:sz w:val="20"/>
                <w:szCs w:val="20"/>
              </w:rPr>
              <w:t xml:space="preserve">tempsJeux (string/number), double @CreateDateColumn, DTO smart-rules absent</w:t>
            </w:r>
          </w:p>
        </w:tc>
        <w:tc>
          <w:tcPr>
            <w:tcW w:type="dxa" w:w="3480"/>
            <w:tcMar>
              <w:top w:type="dxa" w:w="80"/>
              <w:left w:type="dxa" w:w="100"/>
              <w:bottom w:type="dxa" w:w="80"/>
              <w:right w:type="dxa" w:w="100"/>
            </w:tcMar>
          </w:tcPr>
          <w:p>
            <w:pPr>
              <w:jc w:val="left"/>
            </w:pPr>
            <w:r>
              <w:rPr>
                <w:b w:val="false"/>
                <w:bCs w:val="false"/>
                <w:color w:val="1F2937"/>
                <w:sz w:val="20"/>
                <w:szCs w:val="20"/>
              </w:rPr>
              <w:t xml:space="preserve">DTO smart-rules corrigé et testé (20/07) ; les deux autres bugs (module Match legacy) n'ont pas été revérifiés dans cette session</w:t>
            </w:r>
          </w:p>
        </w:tc>
      </w:tr>
    </w:tbl>
    <w:p>
      <w:pPr>
        <w:spacing w:after="160" w:line="300"/>
      </w:pPr>
      <w:r>
        <w:rPr>
          <w:color w:val="1F2937"/>
          <w:sz w:val="21"/>
          <w:szCs w:val="21"/>
        </w:rPr>
        <w:t xml:space="preserve"/>
      </w:r>
    </w:p>
    <w:p>
      <w:pPr>
        <w:spacing w:after="160" w:line="300"/>
      </w:pPr>
      <w:r>
        <w:rPr>
          <w:color w:val="1F2937"/>
          <w:sz w:val="21"/>
          <w:szCs w:val="21"/>
        </w:rPr>
        <w:t xml:space="preserve">Ce sont des progrès réels et mesurables. La documentation interne reste cependant en retard sur le code par endroits : le README du backend est toujours le README par défaut généré par Nest (il mentionne PostgreSQL alors que le projet utilise MySQL), et l'AUDIT.md technique le plus récent date du 10 juin — il ne reflète donc plus l'état du dépôt trois lots plus tard.</w:t>
      </w:r>
    </w:p>
    <w:p>
      <w:pPr>
        <w:pStyle w:val="Heading1"/>
        <w:pBdr>
          <w:bottom w:val="single" w:color="2563EB" w:sz="6" w:space="4"/>
        </w:pBdr>
        <w:spacing w:after="160" w:before="360"/>
      </w:pPr>
      <w:r>
        <w:rPr>
          <w:b/>
          <w:bCs/>
          <w:color w:val="1F2937"/>
          <w:sz w:val="30"/>
          <w:szCs w:val="30"/>
        </w:rPr>
        <w:t xml:space="preserve">6. Points de vigilance</w:t>
      </w:r>
    </w:p>
    <w:p>
      <w:pPr>
        <w:pStyle w:val="Heading2"/>
        <w:spacing w:after="120" w:before="280"/>
      </w:pPr>
      <w:r>
        <w:rPr>
          <w:b/>
          <w:bCs/>
          <w:color w:val="2563EB"/>
          <w:sz w:val="24"/>
          <w:szCs w:val="24"/>
        </w:rPr>
        <w:t xml:space="preserve">Ce qui bloque la crédibilité produit</w:t>
      </w:r>
    </w:p>
    <w:p>
      <w:pPr>
        <w:pStyle w:val="ListParagraph"/>
        <w:numPr>
          <w:ilvl w:val="0"/>
          <w:numId w:val="2"/>
        </w:numPr>
        <w:spacing w:after="90" w:line="290"/>
      </w:pPr>
      <w:r>
        <w:rPr>
          <w:color w:val="1F2937"/>
          <w:sz w:val="21"/>
          <w:szCs w:val="21"/>
        </w:rPr>
        <w:t xml:space="preserve">Les champs « Edge % » et « Confiance » restent affichés et éditables dans Paramètres alors qu'ils ne sont calculés nulle part : l'utilisateur croit régler un seuil de valeur, il ne règle qu'un texte d'affichage. C'est le point que le propre document d'avis critique du projet (AVIS_PRONOSTIQUEUR.md) qualifie de priorité immédiate.</w:t>
      </w:r>
    </w:p>
    <w:p>
      <w:pPr>
        <w:pStyle w:val="ListParagraph"/>
        <w:numPr>
          <w:ilvl w:val="0"/>
          <w:numId w:val="2"/>
        </w:numPr>
        <w:spacing w:after="90" w:line="290"/>
      </w:pPr>
      <w:r>
        <w:rPr>
          <w:color w:val="1F2937"/>
          <w:sz w:val="21"/>
          <w:szCs w:val="21"/>
        </w:rPr>
        <w:t xml:space="preserve">Aucun bouton ne permet de tester une configuration de règles contre l'historique avant de l'activer, alors que le moteur de backtest existe déjà et est exposé via POST /v1/audit/backtest — c'est la fonctionnalité jugée « la plus utile à construire » par la documentation du projet elle-même.</w:t>
      </w:r>
    </w:p>
    <w:p>
      <w:pPr>
        <w:pStyle w:val="ListParagraph"/>
        <w:numPr>
          <w:ilvl w:val="0"/>
          <w:numId w:val="2"/>
        </w:numPr>
        <w:spacing w:after="90" w:line="290"/>
      </w:pPr>
      <w:r>
        <w:rPr>
          <w:color w:val="1F2937"/>
          <w:sz w:val="21"/>
          <w:szCs w:val="21"/>
        </w:rPr>
        <w:t xml:space="preserve">Le filtre de championnats (league_watchlist) est posé en base mais n'est branché ni sur la synchronisation live ni sur les suggestions : les championnats à données peu fiables (petites ligues, saisie manuelle) continuent donc de générer de fausses alertes.</w:t>
      </w:r>
    </w:p>
    <w:p>
      <w:pPr>
        <w:pStyle w:val="Heading2"/>
        <w:spacing w:after="120" w:before="280"/>
      </w:pPr>
      <w:r>
        <w:rPr>
          <w:b/>
          <w:bCs/>
          <w:color w:val="2563EB"/>
          <w:sz w:val="24"/>
          <w:szCs w:val="24"/>
        </w:rPr>
        <w:t xml:space="preserve">Ce qui expose le projet à un risque opérationnel</w:t>
      </w:r>
    </w:p>
    <w:p>
      <w:pPr>
        <w:pStyle w:val="ListParagraph"/>
        <w:numPr>
          <w:ilvl w:val="0"/>
          <w:numId w:val="2"/>
        </w:numPr>
        <w:spacing w:after="90" w:line="290"/>
      </w:pPr>
      <w:r>
        <w:rPr>
          <w:color w:val="1F2937"/>
          <w:sz w:val="21"/>
          <w:szCs w:val="21"/>
        </w:rPr>
        <w:t xml:space="preserve">20 commits de travail (odds, historique, taux de base, qualité du signal) existent uniquement sur une branche locale/distante feat/odds-module, non fusionnée sur master. En cas de perte de la branche (force-push accidentel, branche supprimée), ce travail disparaît de la ligne principale.</w:t>
      </w:r>
    </w:p>
    <w:p>
      <w:pPr>
        <w:pStyle w:val="ListParagraph"/>
        <w:numPr>
          <w:ilvl w:val="0"/>
          <w:numId w:val="2"/>
        </w:numPr>
        <w:spacing w:after="90" w:line="290"/>
      </w:pPr>
      <w:r>
        <w:rPr>
          <w:color w:val="1F2937"/>
          <w:sz w:val="21"/>
          <w:szCs w:val="21"/>
        </w:rPr>
        <w:t xml:space="preserve">28 vulnérabilités Dependabot dont 13 critiques sont signalées dans la documentation du 20 juillet (backend/package.json). Cette session n'a pas d'accès réseau confirmé pour relancer un audit de dépendances — cette information n'a donc pas pu être revérifiée et doit être reconfirmée avant toute mise en production.</w:t>
      </w:r>
    </w:p>
    <w:p>
      <w:pPr>
        <w:pStyle w:val="ListParagraph"/>
        <w:numPr>
          <w:ilvl w:val="0"/>
          <w:numId w:val="2"/>
        </w:numPr>
        <w:spacing w:after="90" w:line="290"/>
      </w:pPr>
      <w:r>
        <w:rPr>
          <w:color w:val="1F2937"/>
          <w:sz w:val="21"/>
          <w:szCs w:val="21"/>
        </w:rPr>
        <w:t xml:space="preserve">Le module Match legacy (match.service.ts) contourne toujours le client API-Football centralisé et contient un bug de type documenté en juin (tempsJeux traité tour à tour comme nombre puis chaîne) ; ce module n'a pas été revisité dans les commits récents.</w:t>
      </w:r>
    </w:p>
    <w:p>
      <w:pPr>
        <w:pStyle w:val="Heading1"/>
        <w:pBdr>
          <w:bottom w:val="single" w:color="2563EB" w:sz="6" w:space="4"/>
        </w:pBdr>
        <w:spacing w:after="160" w:before="360"/>
      </w:pPr>
      <w:r>
        <w:rPr>
          <w:b/>
          <w:bCs/>
          <w:color w:val="1F2937"/>
          <w:sz w:val="30"/>
          <w:szCs w:val="30"/>
        </w:rPr>
        <w:t xml:space="preserve">7. Recommandations pour finaliser le projet</w:t>
      </w:r>
    </w:p>
    <w:p>
      <w:pPr>
        <w:spacing w:after="160" w:line="300"/>
      </w:pPr>
      <w:r>
        <w:rPr>
          <w:color w:val="1F2937"/>
          <w:sz w:val="21"/>
          <w:szCs w:val="21"/>
        </w:rPr>
        <w:t xml:space="preserve">Dans l'ordre où la documentation interne du projet elle-même les priorise, complété par les constats de cette analyse :</w:t>
      </w:r>
    </w:p>
    <w:p>
      <w:pPr>
        <w:pStyle w:val="ListParagraph"/>
        <w:numPr>
          <w:ilvl w:val="0"/>
          <w:numId w:val="2"/>
        </w:numPr>
        <w:spacing w:after="90" w:line="290"/>
      </w:pPr>
      <w:r>
        <w:rPr>
          <w:b/>
          <w:bCs/>
          <w:color w:val="1F2937"/>
          <w:sz w:val="21"/>
          <w:szCs w:val="21"/>
        </w:rPr>
        <w:t xml:space="preserve">Fusionner feat/odds-module dans master </w:t>
      </w:r>
      <w:r>
        <w:rPr>
          <w:color w:val="1F2937"/>
          <w:sz w:val="21"/>
          <w:szCs w:val="21"/>
        </w:rPr>
        <w:t xml:space="preserve">(ou au minimum pousser les 3 commits manquants vers origin) avant toute autre chose — c'est un risque de perte de travail, pas une question de fonctionnalité.</w:t>
      </w:r>
    </w:p>
    <w:p>
      <w:pPr>
        <w:pStyle w:val="ListParagraph"/>
        <w:numPr>
          <w:ilvl w:val="0"/>
          <w:numId w:val="2"/>
        </w:numPr>
        <w:spacing w:after="90" w:line="290"/>
      </w:pPr>
      <w:r>
        <w:rPr>
          <w:b/>
          <w:bCs/>
          <w:color w:val="1F2937"/>
          <w:sz w:val="21"/>
          <w:szCs w:val="21"/>
        </w:rPr>
        <w:t xml:space="preserve">Lot 4 — rendre l'interface honnête </w:t>
      </w:r>
      <w:r>
        <w:rPr>
          <w:color w:val="1F2937"/>
          <w:sz w:val="21"/>
          <w:szCs w:val="21"/>
        </w:rPr>
        <w:t xml:space="preserve">: retirer ou renommer « Edge % » et « Confiance » dans Paramètres, les remplacer par le taux de base réel (Lot 2, déjà disponible côté backend) et ajouter le bouton « tester cette configuration en backtest ». C'est le lot qui a le plus d'impact perçu pour l'effort le plus faible.</w:t>
      </w:r>
    </w:p>
    <w:p>
      <w:pPr>
        <w:pStyle w:val="ListParagraph"/>
        <w:numPr>
          <w:ilvl w:val="0"/>
          <w:numId w:val="2"/>
        </w:numPr>
        <w:spacing w:after="90" w:line="290"/>
      </w:pPr>
      <w:r>
        <w:rPr>
          <w:b/>
          <w:bCs/>
          <w:color w:val="1F2937"/>
          <w:sz w:val="21"/>
          <w:szCs w:val="21"/>
        </w:rPr>
        <w:t xml:space="preserve">Lot 7 — brancher le filtre de championnats </w:t>
      </w:r>
      <w:r>
        <w:rPr>
          <w:color w:val="1F2937"/>
          <w:sz w:val="21"/>
          <w:szCs w:val="21"/>
        </w:rPr>
        <w:t xml:space="preserve">déjà modélisé (league_watchlist) sur le scheduler de sync live et le service de suggestions : l'entité existe, il ne manque que le câblage.</w:t>
      </w:r>
    </w:p>
    <w:p>
      <w:pPr>
        <w:pStyle w:val="ListParagraph"/>
        <w:numPr>
          <w:ilvl w:val="0"/>
          <w:numId w:val="2"/>
        </w:numPr>
        <w:spacing w:after="90" w:line="290"/>
      </w:pPr>
      <w:r>
        <w:rPr>
          <w:b/>
          <w:bCs/>
          <w:color w:val="1F2937"/>
          <w:sz w:val="21"/>
          <w:szCs w:val="21"/>
        </w:rPr>
        <w:t xml:space="preserve">Lot 5 — ajouter le rappel (recall) </w:t>
      </w:r>
      <w:r>
        <w:rPr>
          <w:color w:val="1F2937"/>
          <w:sz w:val="21"/>
          <w:szCs w:val="21"/>
        </w:rPr>
        <w:t xml:space="preserve">aux KPIs de backtest pour pouvoir arbitrer sélectivité contre couverture, aujourd'hui invisible.</w:t>
      </w:r>
    </w:p>
    <w:p>
      <w:pPr>
        <w:pStyle w:val="ListParagraph"/>
        <w:numPr>
          <w:ilvl w:val="0"/>
          <w:numId w:val="2"/>
        </w:numPr>
        <w:spacing w:after="90" w:line="290"/>
      </w:pPr>
      <w:r>
        <w:rPr>
          <w:b/>
          <w:bCs/>
          <w:color w:val="1F2937"/>
          <w:sz w:val="21"/>
          <w:szCs w:val="21"/>
        </w:rPr>
        <w:t xml:space="preserve">Nettoyer la documentation </w:t>
      </w:r>
      <w:r>
        <w:rPr>
          <w:color w:val="1F2937"/>
          <w:sz w:val="21"/>
          <w:szCs w:val="21"/>
        </w:rPr>
        <w:t xml:space="preserve">: mettre à jour le README backend (MySQL, pas PostgreSQL ; retirer le boilerplate Nest par défaut), rafraîchir AUDIT.md ou le remplacer par une nouvelle passe puisqu'il date d'avant trois lots de travail.</w:t>
      </w:r>
    </w:p>
    <w:p>
      <w:pPr>
        <w:pStyle w:val="ListParagraph"/>
        <w:numPr>
          <w:ilvl w:val="0"/>
          <w:numId w:val="2"/>
        </w:numPr>
        <w:spacing w:after="90" w:line="290"/>
      </w:pPr>
      <w:r>
        <w:rPr>
          <w:b/>
          <w:bCs/>
          <w:color w:val="1F2937"/>
          <w:sz w:val="21"/>
          <w:szCs w:val="21"/>
        </w:rPr>
        <w:t xml:space="preserve">Assainir le dépôt git </w:t>
      </w:r>
      <w:r>
        <w:rPr>
          <w:color w:val="1F2937"/>
          <w:sz w:val="21"/>
          <w:szCs w:val="21"/>
        </w:rPr>
        <w:t xml:space="preserve">: configurer .gitattributes pour stabiliser les fins de ligne (le diff local actuel de ~13 000 lignes est un faux positif), et statuer sur la branche refactor/clean-architecture abandonnée depuis plus d'un an (la fusionner ou la supprimer).</w:t>
      </w:r>
    </w:p>
    <w:p>
      <w:pPr>
        <w:pStyle w:val="ListParagraph"/>
        <w:numPr>
          <w:ilvl w:val="0"/>
          <w:numId w:val="2"/>
        </w:numPr>
        <w:spacing w:after="90" w:line="290"/>
      </w:pPr>
      <w:r>
        <w:rPr>
          <w:b/>
          <w:bCs/>
          <w:color w:val="1F2937"/>
          <w:sz w:val="21"/>
          <w:szCs w:val="21"/>
        </w:rPr>
        <w:t xml:space="preserve">Revalider les dépendances </w:t>
      </w:r>
      <w:r>
        <w:rPr>
          <w:color w:val="1F2937"/>
          <w:sz w:val="21"/>
          <w:szCs w:val="21"/>
        </w:rPr>
        <w:t xml:space="preserve">(npm audit) dès qu'un accès réseau est disponible, au vu des 28 vulnérabilités signalées le 20 juillet — bloquant avant toute mise en ligne selon la documentation existante.</w:t>
      </w:r>
    </w:p>
    <w:p>
      <w:pPr>
        <w:pStyle w:val="ListParagraph"/>
        <w:numPr>
          <w:ilvl w:val="0"/>
          <w:numId w:val="2"/>
        </w:numPr>
        <w:spacing w:after="90" w:line="290"/>
      </w:pPr>
      <w:r>
        <w:rPr>
          <w:b/>
          <w:bCs/>
          <w:color w:val="1F2937"/>
          <w:sz w:val="21"/>
          <w:szCs w:val="21"/>
        </w:rPr>
        <w:t xml:space="preserve">Lot 6 — classement pré-match </w:t>
      </w:r>
      <w:r>
        <w:rPr>
          <w:color w:val="1F2937"/>
          <w:sz w:val="21"/>
          <w:szCs w:val="21"/>
        </w:rPr>
        <w:t xml:space="preserve">à traiter en dernier : la documentation interne le juge « le plus prometteur commercialement » mais explicitement dépendant de taux de base fiables, désormais disponibles depuis le Lot 2 — c'est donc débloqué, mais reste le chantier le plus long (7 jours-homme estimés).</w:t>
      </w:r>
    </w:p>
    <w:p>
      <w:pPr>
        <w:pStyle w:val="Heading1"/>
        <w:pBdr>
          <w:bottom w:val="single" w:color="2563EB" w:sz="6" w:space="4"/>
        </w:pBdr>
        <w:spacing w:after="160" w:before="360"/>
      </w:pPr>
      <w:r>
        <w:rPr>
          <w:b/>
          <w:bCs/>
          <w:color w:val="1F2937"/>
          <w:sz w:val="30"/>
          <w:szCs w:val="30"/>
        </w:rPr>
        <w:t xml:space="preserve">8. Conclusion</w:t>
      </w:r>
    </w:p>
    <w:p>
      <w:pPr>
        <w:spacing w:after="160" w:line="300"/>
      </w:pPr>
      <w:r>
        <w:rPr>
          <w:color w:val="1F2937"/>
          <w:sz w:val="21"/>
          <w:szCs w:val="21"/>
        </w:rPr>
        <w:t xml:space="preserve">Le projet a nettement progressé depuis l'audit de juin : authentification, tests, CI, module d'historique, taux de base réels et qualité du signal sont livrés et vérifiables dans le code. La trajectoire suivie — mesurer avant de complexifier, préférer un scanner honnête à une fausse promesse de value betting — est cohérente et bien documentée par le projet lui-même, qui fait un travail d'auto-critique rare et de bonne qualité (AVIS_PRONOSTIQUEUR.md).</w:t>
      </w:r>
    </w:p>
    <w:p>
      <w:pPr>
        <w:spacing w:after="160" w:line="300"/>
      </w:pPr>
      <w:r>
        <w:rPr>
          <w:color w:val="1F2937"/>
          <w:sz w:val="21"/>
          <w:szCs w:val="21"/>
        </w:rPr>
        <w:t xml:space="preserve">Ce qui sépare le projet de ses objectifs aujourd'hui n'est plus principalement technique : c'est l'exécution des lots 4 à 7 déjà spécifiés, la consolidation du travail sur la branche principale, et une repasse de nettoyage documentaire. Aucun de ces points ne remet en cause l'architecture ; ils sont, dans l'ordre indiqué ci-dessus, ce qu'il reste à faire pour que le produit tienne la promesse qu'il s'est lui-même fixée le 20 juillet.</w:t>
      </w:r>
    </w:p>
    <w:p>
      <w:pPr>
        <w:pBdr>
          <w:top w:val="single" w:color="D1D5DB" w:sz="4" w:space="8"/>
        </w:pBdr>
        <w:spacing w:before="400"/>
      </w:pPr>
      <w:r>
        <w:rPr>
          <w:i/>
          <w:iCs/>
          <w:color w:val="4B5563"/>
          <w:sz w:val="17"/>
          <w:szCs w:val="17"/>
        </w:rPr>
        <w:t xml:space="preserve">Rapport établi à partir du code source, de l'historique git (39 commits, branche feat/odds-module) et des documents projet existants (AUDIT.md, RAPPORT_PROJET.md, ROADMAP_FINALISATION.md, PLAN_IMPLEMENTATION.md, AVIS_PRONOSTIQUEUR.md). Ceci décrit une direction technique et organisationnelle, pas un conseil financier.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2026-08-30T23:35:03.211Z</dcterms:created>
  <dcterms:modified xsi:type="dcterms:W3CDTF">2026-08-30T23:35:03.225Z</dcterms:modified>
</cp:coreProperties>
</file>

<file path=docProps/custom.xml><?xml version="1.0" encoding="utf-8"?>
<Properties xmlns="http://schemas.openxmlformats.org/officeDocument/2006/custom-properties" xmlns:vt="http://schemas.openxmlformats.org/officeDocument/2006/docPropsVTypes"/>
</file>