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37EE2" w14:textId="77777777" w:rsidR="00BC79E3" w:rsidRDefault="00BC79E3" w:rsidP="003976C4">
      <w:pPr>
        <w:spacing w:after="0"/>
        <w:jc w:val="center"/>
        <w:rPr>
          <w:rFonts w:asciiTheme="majorHAnsi" w:eastAsiaTheme="majorEastAsia" w:hAnsiTheme="majorHAnsi" w:cstheme="majorBidi"/>
          <w:b/>
          <w:bCs/>
          <w:color w:val="4EA72E" w:themeColor="accent6"/>
          <w:spacing w:val="-10"/>
          <w:kern w:val="28"/>
          <w:sz w:val="56"/>
          <w:szCs w:val="56"/>
        </w:rPr>
      </w:pPr>
      <w:r w:rsidRPr="00BC79E3">
        <w:rPr>
          <w:rFonts w:asciiTheme="majorHAnsi" w:eastAsiaTheme="majorEastAsia" w:hAnsiTheme="majorHAnsi" w:cstheme="majorBidi"/>
          <w:b/>
          <w:bCs/>
          <w:color w:val="4EA72E" w:themeColor="accent6"/>
          <w:spacing w:val="-10"/>
          <w:kern w:val="28"/>
          <w:sz w:val="56"/>
          <w:szCs w:val="56"/>
        </w:rPr>
        <w:t>Sarah Andersen</w:t>
      </w:r>
    </w:p>
    <w:p w14:paraId="72ECA39C" w14:textId="1BAA188A"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BC79E3" w:rsidRPr="00BC79E3">
        <w:rPr>
          <w:sz w:val="28"/>
          <w:szCs w:val="28"/>
        </w:rPr>
        <w:t>sarah.andersen@gmail.com</w:t>
      </w:r>
      <w:r w:rsidR="0068179E">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 xml:space="preserve">Provided dedicated HR generalist support for a </w:t>
      </w:r>
      <w:r w:rsidRPr="0001551E">
        <w:t>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w:t>
      </w:r>
      <w:r w:rsidRPr="003976C4">
        <w:t xml:space="preserve">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22514F"/>
    <w:rsid w:val="002C38E3"/>
    <w:rsid w:val="003976C4"/>
    <w:rsid w:val="003E0CB1"/>
    <w:rsid w:val="003F5DFB"/>
    <w:rsid w:val="005A66DA"/>
    <w:rsid w:val="006534AA"/>
    <w:rsid w:val="0068179E"/>
    <w:rsid w:val="00682B36"/>
    <w:rsid w:val="00810244"/>
    <w:rsid w:val="00980EE5"/>
    <w:rsid w:val="00993BBB"/>
    <w:rsid w:val="009A4B8C"/>
    <w:rsid w:val="009A6827"/>
    <w:rsid w:val="00A533CA"/>
    <w:rsid w:val="00A94B4F"/>
    <w:rsid w:val="00B335E9"/>
    <w:rsid w:val="00BC79E3"/>
    <w:rsid w:val="00BE6B96"/>
    <w:rsid w:val="00C476B0"/>
    <w:rsid w:val="00D365E3"/>
    <w:rsid w:val="00DF41A9"/>
    <w:rsid w:val="00DF4D2C"/>
    <w:rsid w:val="00E30350"/>
    <w:rsid w:val="00E61EF6"/>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2</cp:revision>
  <dcterms:created xsi:type="dcterms:W3CDTF">2025-06-03T04:25:00Z</dcterms:created>
  <dcterms:modified xsi:type="dcterms:W3CDTF">2025-06-03T04:25:00Z</dcterms:modified>
</cp:coreProperties>
</file>