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[2] [3] [4] [5] [6] [7] [8]</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03">
      <w:pPr>
        <w:rPr/>
      </w:pPr>
      <w:r w:rsidDel="00000000" w:rsidR="00000000" w:rsidRPr="00000000">
        <w:rPr>
          <w:rtl w:val="0"/>
        </w:rPr>
        <w:t xml:space="preserve">These were all the citations I had ever used for presentation and paper.  Some sources might be useful, others might not be, but I’m putting all that here in one place so we can both have it. </w:t>
      </w:r>
    </w:p>
    <w:p w:rsidR="00000000" w:rsidDel="00000000" w:rsidP="00000000" w:rsidRDefault="00000000" w:rsidRPr="00000000" w14:paraId="00000004">
      <w:pPr>
        <w:pStyle w:val="Heading1"/>
        <w:keepNext w:val="0"/>
        <w:keepLines w:val="0"/>
        <w:spacing w:after="0" w:before="480" w:line="167.9999890534774" w:lineRule="auto"/>
        <w:rPr>
          <w:rFonts w:ascii="Calibri" w:cs="Calibri" w:eastAsia="Calibri" w:hAnsi="Calibri"/>
          <w:b w:val="1"/>
          <w:bCs w:val="1"/>
          <w:color w:val="2f5496"/>
          <w:sz w:val="28"/>
          <w:szCs w:val="28"/>
        </w:rPr>
      </w:pPr>
      <w:bookmarkStart w:colFirst="0" w:colLast="0" w:name="_ftxjx6f3tauf" w:id="0"/>
      <w:bookmarkEnd w:id="0"/>
      <w:r w:rsidDel="00000000" w:rsidR="00000000" w:rsidRPr="00000000">
        <w:rPr>
          <w:rFonts w:ascii="Calibri" w:cs="Calibri" w:eastAsia="Calibri" w:hAnsi="Calibri"/>
          <w:b w:val="1"/>
          <w:bCs w:val="1"/>
          <w:color w:val="2f5496"/>
          <w:sz w:val="28"/>
          <w:szCs w:val="28"/>
          <w:rtl w:val="0"/>
        </w:rPr>
        <w:t xml:space="preserve">Bibliography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7712082262211"/>
        <w:gridCol w:w="9059.22879177378"/>
        <w:tblGridChange w:id="0">
          <w:tblGrid>
            <w:gridCol w:w="300.7712082262211"/>
            <w:gridCol w:w="9059.22879177378"/>
          </w:tblGrid>
        </w:tblGridChange>
      </w:tblGrid>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t>
            </w:r>
          </w:p>
        </w:tc>
        <w:tc>
          <w:tcPr>
            <w:tcMar>
              <w:top w:w="20.0" w:type="dxa"/>
              <w:left w:w="20.0" w:type="dxa"/>
              <w:bottom w:w="20.0" w:type="dxa"/>
              <w:right w:w="20.0" w:type="dxa"/>
            </w:tcMar>
            <w:vAlign w:val="top"/>
          </w:tcPr>
          <w:p w:rsidR="00000000" w:rsidDel="00000000" w:rsidP="00000000" w:rsidRDefault="00000000" w:rsidRPr="00000000" w14:paraId="0000000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 Koehl, M. Paquier and S. Delikaris-Manias, "Comparison of Subjective Assessments Obtained from Listening Tests through Headphones and Loudspeaker Setups," in </w:t>
            </w:r>
            <w:r w:rsidDel="00000000" w:rsidR="00000000" w:rsidRPr="00000000">
              <w:rPr>
                <w:rFonts w:ascii="Calibri" w:cs="Calibri" w:eastAsia="Calibri" w:hAnsi="Calibri"/>
                <w:i w:val="1"/>
                <w:iCs w:val="1"/>
                <w:sz w:val="24"/>
                <w:szCs w:val="24"/>
                <w:rtl w:val="0"/>
              </w:rPr>
              <w:t xml:space="preserve">Journal of Audio Engineering Society Paper 8560</w:t>
            </w:r>
            <w:r w:rsidDel="00000000" w:rsidR="00000000" w:rsidRPr="00000000">
              <w:rPr>
                <w:rFonts w:ascii="Calibri" w:cs="Calibri" w:eastAsia="Calibri" w:hAnsi="Calibri"/>
                <w:sz w:val="24"/>
                <w:szCs w:val="24"/>
                <w:rtl w:val="0"/>
              </w:rPr>
              <w:t xml:space="preserve">, October 2011. </w:t>
            </w:r>
          </w:p>
        </w:tc>
      </w:tr>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00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t>
            </w:r>
          </w:p>
        </w:tc>
        <w:tc>
          <w:tcPr>
            <w:tcMar>
              <w:top w:w="20.0" w:type="dxa"/>
              <w:left w:w="20.0" w:type="dxa"/>
              <w:bottom w:w="20.0" w:type="dxa"/>
              <w:right w:w="20.0" w:type="dxa"/>
            </w:tcMar>
            <w:vAlign w:val="top"/>
          </w:tcPr>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 King, B. Leonard and G. Sokora, "Loudspeakers and Headphones: The Effects on Playback Systems of Listening Test Subjects," in </w:t>
            </w:r>
            <w:r w:rsidDel="00000000" w:rsidR="00000000" w:rsidRPr="00000000">
              <w:rPr>
                <w:rFonts w:ascii="Calibri" w:cs="Calibri" w:eastAsia="Calibri" w:hAnsi="Calibri"/>
                <w:i w:val="1"/>
                <w:iCs w:val="1"/>
                <w:sz w:val="24"/>
                <w:szCs w:val="24"/>
                <w:rtl w:val="0"/>
              </w:rPr>
              <w:t xml:space="preserve">The Journal of the Acoustical Society of America </w:t>
            </w:r>
            <w:r w:rsidDel="00000000" w:rsidR="00000000" w:rsidRPr="00000000">
              <w:rPr>
                <w:rFonts w:ascii="Calibri" w:cs="Calibri" w:eastAsia="Calibri" w:hAnsi="Calibri"/>
                <w:sz w:val="24"/>
                <w:szCs w:val="24"/>
                <w:rtl w:val="0"/>
              </w:rPr>
              <w:t xml:space="preserve">, Montreal, Canada DOI: 10.1121/1.4799550, June. 2-7 2013. </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0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t>
            </w:r>
          </w:p>
        </w:tc>
        <w:tc>
          <w:tcPr>
            <w:tcMar>
              <w:top w:w="20.0" w:type="dxa"/>
              <w:left w:w="20.0" w:type="dxa"/>
              <w:bottom w:w="20.0" w:type="dxa"/>
              <w:right w:w="20.0" w:type="dxa"/>
            </w:tcMar>
            <w:vAlign w:val="top"/>
          </w:tcPr>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 Flanagan, C. B. Moore and M. A. Stone, "Discrimination of Group Delay in Click-like Signals Presented via Headphones and Loudspeakers," </w:t>
            </w:r>
            <w:r w:rsidDel="00000000" w:rsidR="00000000" w:rsidRPr="00000000">
              <w:rPr>
                <w:rFonts w:ascii="Calibri" w:cs="Calibri" w:eastAsia="Calibri" w:hAnsi="Calibri"/>
                <w:i w:val="1"/>
                <w:iCs w:val="1"/>
                <w:sz w:val="24"/>
                <w:szCs w:val="24"/>
                <w:rtl w:val="0"/>
              </w:rPr>
              <w:t xml:space="preserve">Journal of Audio Engineering Society, </w:t>
            </w:r>
            <w:r w:rsidDel="00000000" w:rsidR="00000000" w:rsidRPr="00000000">
              <w:rPr>
                <w:rFonts w:ascii="Calibri" w:cs="Calibri" w:eastAsia="Calibri" w:hAnsi="Calibri"/>
                <w:sz w:val="24"/>
                <w:szCs w:val="24"/>
                <w:rtl w:val="0"/>
              </w:rPr>
              <w:t xml:space="preserve">vol. 53, no. 7-8, pp. 593-611, July 2005. </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0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t>
            </w:r>
          </w:p>
        </w:tc>
        <w:tc>
          <w:tcPr>
            <w:tcMar>
              <w:top w:w="20.0" w:type="dxa"/>
              <w:left w:w="20.0" w:type="dxa"/>
              <w:bottom w:w="20.0" w:type="dxa"/>
              <w:right w:w="20.0" w:type="dxa"/>
            </w:tcMar>
            <w:vAlign w:val="top"/>
          </w:tcPr>
          <w:p w:rsidR="00000000" w:rsidDel="00000000" w:rsidP="00000000" w:rsidRDefault="00000000" w:rsidRPr="00000000" w14:paraId="0000000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 Bauer, "Stereophonic Earphones and Binaural Loudspeakers," </w:t>
            </w:r>
            <w:r w:rsidDel="00000000" w:rsidR="00000000" w:rsidRPr="00000000">
              <w:rPr>
                <w:rFonts w:ascii="Calibri" w:cs="Calibri" w:eastAsia="Calibri" w:hAnsi="Calibri"/>
                <w:i w:val="1"/>
                <w:iCs w:val="1"/>
                <w:sz w:val="24"/>
                <w:szCs w:val="24"/>
                <w:rtl w:val="0"/>
              </w:rPr>
              <w:t xml:space="preserve">Journal of Audio Engineering Society, </w:t>
            </w:r>
            <w:r w:rsidDel="00000000" w:rsidR="00000000" w:rsidRPr="00000000">
              <w:rPr>
                <w:rFonts w:ascii="Calibri" w:cs="Calibri" w:eastAsia="Calibri" w:hAnsi="Calibri"/>
                <w:sz w:val="24"/>
                <w:szCs w:val="24"/>
                <w:rtl w:val="0"/>
              </w:rPr>
              <w:t xml:space="preserve">vol. 9, no. 2, pp. 148-151, April 1961. </w:t>
            </w:r>
          </w:p>
        </w:tc>
      </w:tr>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00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t>
            </w:r>
          </w:p>
        </w:tc>
        <w:tc>
          <w:tcPr>
            <w:tcMar>
              <w:top w:w="20.0" w:type="dxa"/>
              <w:left w:w="20.0" w:type="dxa"/>
              <w:bottom w:w="20.0" w:type="dxa"/>
              <w:right w:w="20.0" w:type="dxa"/>
            </w:tcMar>
            <w:vAlign w:val="top"/>
          </w:tcPr>
          <w:p w:rsidR="00000000" w:rsidDel="00000000" w:rsidP="00000000" w:rsidRDefault="00000000" w:rsidRPr="00000000" w14:paraId="0000000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 Berg, T. Johannesson, M. Löfdahl and A. Nykanen, "In-Ear vs. Loudspeaker Monitoring for Live Sound and the Effect on Audio Quality Attributed and Musical Performance," in </w:t>
            </w:r>
            <w:r w:rsidDel="00000000" w:rsidR="00000000" w:rsidRPr="00000000">
              <w:rPr>
                <w:rFonts w:ascii="Calibri" w:cs="Calibri" w:eastAsia="Calibri" w:hAnsi="Calibri"/>
                <w:i w:val="1"/>
                <w:iCs w:val="1"/>
                <w:sz w:val="24"/>
                <w:szCs w:val="24"/>
                <w:rtl w:val="0"/>
              </w:rPr>
              <w:t xml:space="preserve">Advances in Fundamental and Applied Research on Spatial Audio Doi: 10.5772/intechopen.10485</w:t>
            </w:r>
            <w:r w:rsidDel="00000000" w:rsidR="00000000" w:rsidRPr="00000000">
              <w:rPr>
                <w:rFonts w:ascii="Calibri" w:cs="Calibri" w:eastAsia="Calibri" w:hAnsi="Calibri"/>
                <w:sz w:val="24"/>
                <w:szCs w:val="24"/>
                <w:rtl w:val="0"/>
              </w:rPr>
              <w:t xml:space="preserve">, May 2017. </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0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w:t>
            </w:r>
          </w:p>
        </w:tc>
        <w:tc>
          <w:tcPr>
            <w:tcMar>
              <w:top w:w="20.0" w:type="dxa"/>
              <w:left w:w="20.0" w:type="dxa"/>
              <w:bottom w:w="20.0" w:type="dxa"/>
              <w:right w:w="20.0" w:type="dxa"/>
            </w:tcMar>
            <w:vAlign w:val="top"/>
          </w:tcPr>
          <w:p w:rsidR="00000000" w:rsidDel="00000000" w:rsidP="00000000" w:rsidRDefault="00000000" w:rsidRPr="00000000" w14:paraId="0000001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 Cox, P. D'Antonio and M. R. Avis, ""Room Sizing and Optimization at Low Frequencies," </w:t>
            </w:r>
            <w:r w:rsidDel="00000000" w:rsidR="00000000" w:rsidRPr="00000000">
              <w:rPr>
                <w:rFonts w:ascii="Calibri" w:cs="Calibri" w:eastAsia="Calibri" w:hAnsi="Calibri"/>
                <w:i w:val="1"/>
                <w:iCs w:val="1"/>
                <w:sz w:val="24"/>
                <w:szCs w:val="24"/>
                <w:rtl w:val="0"/>
              </w:rPr>
              <w:t xml:space="preserve">Journal of Audio Engineering Society, </w:t>
            </w:r>
            <w:r w:rsidDel="00000000" w:rsidR="00000000" w:rsidRPr="00000000">
              <w:rPr>
                <w:rFonts w:ascii="Calibri" w:cs="Calibri" w:eastAsia="Calibri" w:hAnsi="Calibri"/>
                <w:sz w:val="24"/>
                <w:szCs w:val="24"/>
                <w:rtl w:val="0"/>
              </w:rPr>
              <w:t xml:space="preserve">vol. 52, no. 6, pp. 640-651, June 2004. </w:t>
            </w:r>
          </w:p>
        </w:tc>
      </w:tr>
      <w:tr>
        <w:trPr>
          <w:cantSplit w:val="0"/>
          <w:trHeight w:val="840" w:hRule="atLeast"/>
          <w:tblHeader w:val="0"/>
        </w:trPr>
        <w:tc>
          <w:tcPr>
            <w:tcMar>
              <w:top w:w="20.0" w:type="dxa"/>
              <w:left w:w="20.0" w:type="dxa"/>
              <w:bottom w:w="20.0" w:type="dxa"/>
              <w:right w:w="20.0" w:type="dxa"/>
            </w:tcMar>
            <w:vAlign w:val="top"/>
          </w:tcPr>
          <w:p w:rsidR="00000000" w:rsidDel="00000000" w:rsidP="00000000" w:rsidRDefault="00000000" w:rsidRPr="00000000" w14:paraId="0000001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[7] </w:t>
            </w:r>
          </w:p>
        </w:tc>
        <w:tc>
          <w:tcPr>
            <w:tcMar>
              <w:top w:w="20.0" w:type="dxa"/>
              <w:left w:w="20.0" w:type="dxa"/>
              <w:bottom w:w="20.0" w:type="dxa"/>
              <w:right w:w="20.0" w:type="dxa"/>
            </w:tcMar>
            <w:vAlign w:val="top"/>
          </w:tcPr>
          <w:p w:rsidR="00000000" w:rsidDel="00000000" w:rsidP="00000000" w:rsidRDefault="00000000" w:rsidRPr="00000000" w14:paraId="0000001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 Guttenburg, "What's more accurate: Speakers or Headphones," C-Net Productions, 16 April 2016. [Online]. Available: https://www.cnet.com/tech/mobile/whats-more-accurate-speakers-or-headphones/. [Accessed 25 February 2023].</w:t>
            </w:r>
          </w:p>
        </w:tc>
      </w:tr>
      <w:tr>
        <w:trPr>
          <w:cantSplit w:val="0"/>
          <w:trHeight w:val="570" w:hRule="atLeast"/>
          <w:tblHeader w:val="0"/>
        </w:trPr>
        <w:tc>
          <w:tcPr>
            <w:tcMar>
              <w:top w:w="20.0" w:type="dxa"/>
              <w:left w:w="20.0" w:type="dxa"/>
              <w:bottom w:w="20.0" w:type="dxa"/>
              <w:right w:w="20.0" w:type="dxa"/>
            </w:tcMar>
            <w:vAlign w:val="top"/>
          </w:tcPr>
          <w:p w:rsidR="00000000" w:rsidDel="00000000" w:rsidP="00000000" w:rsidRDefault="00000000" w:rsidRPr="00000000" w14:paraId="0000001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[8] </w:t>
            </w:r>
          </w:p>
        </w:tc>
        <w:tc>
          <w:tcPr>
            <w:tcMar>
              <w:top w:w="20.0" w:type="dxa"/>
              <w:left w:w="20.0" w:type="dxa"/>
              <w:bottom w:w="20.0" w:type="dxa"/>
              <w:right w:w="20.0" w:type="dxa"/>
            </w:tcMar>
            <w:vAlign w:val="top"/>
          </w:tcPr>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 Mizumachi, R. Yamamoto and K. Niyada, "Subjective Evaluation of High Resolution Audio through Headphones," in </w:t>
            </w:r>
            <w:r w:rsidDel="00000000" w:rsidR="00000000" w:rsidRPr="00000000">
              <w:rPr>
                <w:rFonts w:ascii="Calibri" w:cs="Calibri" w:eastAsia="Calibri" w:hAnsi="Calibri"/>
                <w:i w:val="1"/>
                <w:iCs w:val="1"/>
                <w:sz w:val="24"/>
                <w:szCs w:val="24"/>
                <w:rtl w:val="0"/>
              </w:rPr>
              <w:t xml:space="preserve">Journal of Audio Engineering Society Paper 9529</w:t>
            </w:r>
            <w:r w:rsidDel="00000000" w:rsidR="00000000" w:rsidRPr="00000000">
              <w:rPr>
                <w:rFonts w:ascii="Calibri" w:cs="Calibri" w:eastAsia="Calibri" w:hAnsi="Calibri"/>
                <w:sz w:val="24"/>
                <w:szCs w:val="24"/>
                <w:rtl w:val="0"/>
              </w:rPr>
              <w:t xml:space="preserve">, May 2016. </w:t>
            </w:r>
          </w:p>
        </w:tc>
      </w:tr>
    </w:tbl>
    <w:p w:rsidR="00000000" w:rsidDel="00000000" w:rsidP="00000000" w:rsidRDefault="00000000" w:rsidRPr="00000000" w14:paraId="0000001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