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0"/>
          <w:rFonts w:ascii="黑体" w:hAnsi="黑体" w:eastAsia="黑体"/>
        </w:rPr>
        <w:t>经济补偿金与赔偿金精算清单</w:t>
      </w:r>
    </w:p>
    <w:p>
      <w:pPr>
        <w:spacing w:line="48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>申请人：{{ applicant_name }}    被申请人：{{ respondent_name }}</w:t>
        <w:br/>
        <w:t>入职日期：{{ hire_date }}    解除日期：{{ termination_date }}    折算工龄：{{ tenure_str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592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补偿项目</w:t>
            </w:r>
          </w:p>
        </w:tc>
        <w:tc>
          <w:tcPr>
            <w:tcW w:type="dxa" w:w="2592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核算公式与基数</w:t>
            </w:r>
          </w:p>
        </w:tc>
        <w:tc>
          <w:tcPr>
            <w:tcW w:type="dxa" w:w="2304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主张金额</w:t>
            </w:r>
          </w:p>
        </w:tc>
        <w:tc>
          <w:tcPr>
            <w:tcW w:type="dxa" w:w="2592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法律依据条文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法定经济补偿 (N)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{{ monthly_salary }}元 × {{ compensation_months }}个月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￥{{ amount_n }}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《劳动合同法》第47条第一款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未提前通知代通知金 (+1)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上月实际工资标准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￥{{ amount_plus_1_notice }}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《劳动合同法》第40条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违法解除赔偿金 (2N)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法定经济补偿 N × 2倍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￥{{ amount_2n }}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《劳动合同法》第87条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离职前12个月月均工资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实发与应发平均工资核定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￥{{ monthly_salary }}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2"/>
                <w:rFonts w:ascii="仿宋" w:hAnsi="仿宋" w:eastAsia="仿宋"/>
              </w:rPr>
              <w:t>《劳动合同法实施条例》第27条</w:t>
            </w:r>
          </w:p>
        </w:tc>
      </w:tr>
    </w:tbl>
    <w:p/>
    <w:p>
      <w:pPr>
        <w:spacing w:line="44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2"/>
          <w:rFonts w:ascii="仿宋" w:hAnsi="仿宋" w:eastAsia="仿宋"/>
        </w:rPr>
        <w:t>封顶核定说明：{{ cap_reason }}</w:t>
      </w:r>
    </w:p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 xml:space="preserve">编制人（申请人/代理律师）：{{ applicant_name }}          </w:t>
        <w:br/>
        <w:br/>
        <w:t xml:space="preserve">日期：{{ filing_date }}          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