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F3A5F"/>
          <w:sz w:val="32"/>
          <w:szCs w:val="32"/>
        </w:rPr>
        <w:t xml:space="preserve">Ajuste del formulario IBM-PG-15/F01</w:t>
      </w:r>
    </w:p>
    <w:p>
      <w:pPr>
        <w:spacing w:after="160" w:before="0"/>
      </w:pPr>
      <w:r>
        <w:rPr>
          <w:rFonts w:ascii="Arial" w:cs="Arial" w:eastAsia="Arial" w:hAnsi="Arial"/>
          <w:color w:val="595959"/>
          <w:sz w:val="20"/>
          <w:szCs w:val="20"/>
        </w:rPr>
        <w:t xml:space="preserve">Notas de apoyo para el fiscalizador · propuesta V.03 · Fiscalización de estaciones de servicio (combustible líquido)</w:t>
      </w:r>
    </w:p>
    <w:p>
      <w:pPr>
        <w:pStyle w:val="Heading2"/>
        <w:spacing w:after="100" w:before="240"/>
      </w:pPr>
      <w:r>
        <w:rPr>
          <w:rFonts w:ascii="Arial" w:cs="Arial" w:eastAsia="Arial" w:hAnsi="Arial"/>
          <w:b/>
          <w:bCs/>
          <w:color w:val="1F3A5F"/>
          <w:sz w:val="24"/>
          <w:szCs w:val="24"/>
        </w:rPr>
        <w:t xml:space="preserve">1. Qué hice y qué supuse</w:t>
      </w:r>
    </w:p>
    <w:p>
      <w:pPr>
        <w:spacing w:after="100" w:before="0"/>
      </w:pPr>
      <w:r>
        <w:rPr>
          <w:rFonts w:ascii="Arial" w:cs="Arial" w:eastAsia="Arial" w:hAnsi="Arial"/>
          <w:sz w:val="20"/>
          <w:szCs w:val="20"/>
        </w:rPr>
        <w:t xml:space="preserve">Leí el formulario V.02 (escaneado), la descripción del puesto de Fiscalizador (IBM-MO-01, pág. 8-9) y las fichas de la Dirección de Metrología Legal (págs. 50-63). Según el manual, el Fiscalizador «fiscaliza los servicios prestados por la DML y las Oficinas Regionales», y el Supervisor de Estaciones de Servicio y Tanques coordina a los técnicos que verifican los surtidores.</w:t>
      </w:r>
    </w:p>
    <w:p>
      <w:pPr>
        <w:spacing w:after="100" w:before="0"/>
      </w:pPr>
      <w:r>
        <w:rPr>
          <w:rFonts w:ascii="Arial" w:cs="Arial" w:eastAsia="Arial" w:hAnsi="Arial"/>
          <w:b/>
          <w:bCs/>
          <w:sz w:val="20"/>
          <w:szCs w:val="20"/>
        </w:rPr>
        <w:t xml:space="preserve">Supuesto a confirmar: </w:t>
      </w:r>
      <w:r>
        <w:rPr>
          <w:rFonts w:ascii="Arial" w:cs="Arial" w:eastAsia="Arial" w:hAnsi="Arial"/>
          <w:sz w:val="20"/>
          <w:szCs w:val="20"/>
        </w:rPr>
        <w:t xml:space="preserve">el V.02 mezclaba dos cosas: el estado del surtidor y el trabajo del técnico durante la verificación. Mantuve ambas, separadas: la sección 2 revisa cada manguera de la estación y la sección 3 (opcional) revisa al técnico. Si usted solo fiscaliza una de las dos, se elimina la otra sin afectar el resto.</w:t>
      </w:r>
    </w:p>
    <w:p>
      <w:pPr>
        <w:pStyle w:val="Heading2"/>
        <w:spacing w:after="100" w:before="240"/>
      </w:pPr>
      <w:r>
        <w:rPr>
          <w:rFonts w:ascii="Arial" w:cs="Arial" w:eastAsia="Arial" w:hAnsi="Arial"/>
          <w:b/>
          <w:bCs/>
          <w:color w:val="1F3A5F"/>
          <w:sz w:val="24"/>
          <w:szCs w:val="24"/>
        </w:rPr>
        <w:t xml:space="preserve">2. Problemas del formulario V.02</w:t>
      </w:r>
    </w:p>
    <w:p>
      <w:pPr>
        <w:pStyle w:val="ListParagraph"/>
        <w:numPr>
          <w:ilvl w:val="0"/>
          <w:numId w:val="2"/>
        </w:numPr>
        <w:spacing w:after="60"/>
      </w:pPr>
      <w:r>
        <w:rPr>
          <w:rFonts w:ascii="Arial" w:cs="Arial" w:eastAsia="Arial" w:hAnsi="Arial"/>
          <w:sz w:val="20"/>
          <w:szCs w:val="20"/>
        </w:rPr>
        <w:t xml:space="preserve">No deja registrar los ensayos. Solo tiene SÍ / NO, así que no queda evidencia de los errores medidos en cada manguera.</w:t>
      </w:r>
    </w:p>
    <w:p>
      <w:pPr>
        <w:pStyle w:val="ListParagraph"/>
        <w:numPr>
          <w:ilvl w:val="0"/>
          <w:numId w:val="2"/>
        </w:numPr>
        <w:spacing w:after="60"/>
      </w:pPr>
      <w:r>
        <w:rPr>
          <w:rFonts w:ascii="Arial" w:cs="Arial" w:eastAsia="Arial" w:hAnsi="Arial"/>
          <w:sz w:val="20"/>
          <w:szCs w:val="20"/>
        </w:rPr>
        <w:t xml:space="preserve">Una sola columna de respuestas para toda la estación. Un surtidor tiene varias mangueras y productos, y cada una se verifica por separado.</w:t>
      </w:r>
    </w:p>
    <w:p>
      <w:pPr>
        <w:pStyle w:val="ListParagraph"/>
        <w:numPr>
          <w:ilvl w:val="0"/>
          <w:numId w:val="2"/>
        </w:numPr>
        <w:spacing w:after="60"/>
      </w:pPr>
      <w:r>
        <w:rPr>
          <w:rFonts w:ascii="Arial" w:cs="Arial" w:eastAsia="Arial" w:hAnsi="Arial"/>
          <w:sz w:val="20"/>
          <w:szCs w:val="20"/>
        </w:rPr>
        <w:t xml:space="preserve">Son 19 ítems con frases largas que mezclan procedimiento y control. Cuesta leerlos de pie frente al surtidor.</w:t>
      </w:r>
    </w:p>
    <w:p>
      <w:pPr>
        <w:pStyle w:val="ListParagraph"/>
        <w:numPr>
          <w:ilvl w:val="0"/>
          <w:numId w:val="2"/>
        </w:numPr>
        <w:spacing w:after="60"/>
      </w:pPr>
      <w:r>
        <w:rPr>
          <w:rFonts w:ascii="Arial" w:cs="Arial" w:eastAsia="Arial" w:hAnsi="Arial"/>
          <w:sz w:val="20"/>
          <w:szCs w:val="20"/>
        </w:rPr>
        <w:t xml:space="preserve">Los ítems 9.3.2.6 y 9.3.2.7 son ambiguos. «Cada error individual no podrá ser superior a 60 ml» choca con el límite de ±100 ml del 9.3.2.5, y «la suma de sus valores» no describe una repetibilidad. Los interpreté como una sola regla: la dispersión (ensayo mayor − ensayo menor) no pasa de 60 ml.</w:t>
      </w:r>
    </w:p>
    <w:p>
      <w:pPr>
        <w:pStyle w:val="ListParagraph"/>
        <w:numPr>
          <w:ilvl w:val="0"/>
          <w:numId w:val="2"/>
        </w:numPr>
        <w:spacing w:after="60"/>
      </w:pPr>
      <w:r>
        <w:rPr>
          <w:rFonts w:ascii="Arial" w:cs="Arial" w:eastAsia="Arial" w:hAnsi="Arial"/>
          <w:sz w:val="20"/>
          <w:szCs w:val="20"/>
        </w:rPr>
        <w:t xml:space="preserve">No hay decisión por manguera ni representante de la estación que reciba copia.</w:t>
      </w:r>
    </w:p>
    <w:p>
      <w:pPr>
        <w:pStyle w:val="ListParagraph"/>
        <w:numPr>
          <w:ilvl w:val="0"/>
          <w:numId w:val="2"/>
        </w:numPr>
        <w:spacing w:after="60"/>
      </w:pPr>
      <w:r>
        <w:rPr>
          <w:rFonts w:ascii="Arial" w:cs="Arial" w:eastAsia="Arial" w:hAnsi="Arial"/>
          <w:sz w:val="20"/>
          <w:szCs w:val="20"/>
        </w:rPr>
        <w:t xml:space="preserve">El signo del error no está definido. Los ejemplos del 9.3.2.9 (−70, −80, −90 ml) sugieren que el signo negativo es el que perjudica al cliente; lo dejé escrito en el formulario.</w:t>
      </w:r>
    </w:p>
    <w:p>
      <w:pPr>
        <w:pStyle w:val="Heading2"/>
        <w:spacing w:after="100" w:before="240"/>
      </w:pPr>
      <w:r>
        <w:rPr>
          <w:rFonts w:ascii="Arial" w:cs="Arial" w:eastAsia="Arial" w:hAnsi="Arial"/>
          <w:b/>
          <w:bCs/>
          <w:color w:val="1F3A5F"/>
          <w:sz w:val="24"/>
          <w:szCs w:val="24"/>
        </w:rPr>
        <w:t xml:space="preserve">3. Qué cambió</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00"/>
        <w:gridCol w:w="7206"/>
      </w:tblGrid>
      <w:tr>
        <w:trPr>
          <w:tblHeader/>
        </w:trPr>
        <w:tc>
          <w:tcPr>
            <w:tcW w:type="dxa" w:w="3000"/>
            <w:tcBorders>
              <w:top w:val="single" w:color="9AA5B1" w:sz="4"/>
              <w:left w:val="single" w:color="9AA5B1" w:sz="4"/>
              <w:bottom w:val="single" w:color="9AA5B1" w:sz="4"/>
              <w:right w:val="single" w:color="9AA5B1" w:sz="4"/>
            </w:tcBorders>
            <w:shd w:fill="E8EEF5" w:color="auto" w:val="clear"/>
            <w:tcMar>
              <w:top w:type="dxa" w:w="50"/>
              <w:left w:type="dxa" w:w="90"/>
              <w:bottom w:type="dxa" w:w="50"/>
              <w:right w:type="dxa" w:w="90"/>
            </w:tcMar>
          </w:tcPr>
          <w:p>
            <w:pPr>
              <w:spacing w:after="0" w:before="0"/>
            </w:pPr>
            <w:r>
              <w:rPr>
                <w:rFonts w:ascii="Arial" w:cs="Arial" w:eastAsia="Arial" w:hAnsi="Arial"/>
                <w:b/>
                <w:bCs/>
                <w:sz w:val="18"/>
                <w:szCs w:val="18"/>
              </w:rPr>
              <w:t xml:space="preserve">V.02</w:t>
            </w:r>
          </w:p>
        </w:tc>
        <w:tc>
          <w:tcPr>
            <w:tcW w:type="dxa" w:w="7206"/>
            <w:tcBorders>
              <w:top w:val="single" w:color="9AA5B1" w:sz="4"/>
              <w:left w:val="single" w:color="9AA5B1" w:sz="4"/>
              <w:bottom w:val="single" w:color="9AA5B1" w:sz="4"/>
              <w:right w:val="single" w:color="9AA5B1" w:sz="4"/>
            </w:tcBorders>
            <w:shd w:fill="E8EEF5" w:color="auto" w:val="clear"/>
            <w:tcMar>
              <w:top w:type="dxa" w:w="50"/>
              <w:left w:type="dxa" w:w="90"/>
              <w:bottom w:type="dxa" w:w="50"/>
              <w:right w:type="dxa" w:w="90"/>
            </w:tcMar>
          </w:tcPr>
          <w:p>
            <w:pPr>
              <w:spacing w:after="0" w:before="0"/>
            </w:pPr>
            <w:r>
              <w:rPr>
                <w:rFonts w:ascii="Arial" w:cs="Arial" w:eastAsia="Arial" w:hAnsi="Arial"/>
                <w:b/>
                <w:bCs/>
                <w:sz w:val="18"/>
                <w:szCs w:val="18"/>
              </w:rPr>
              <w:t xml:space="preserve">Propuesta V.03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19 ítems SÍ / NO en una columna</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Una fila por manguera: 3 revisiones visuales con ✓ / ✗ / NA y 3 ensayos anotados en ml</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Límites repartidos en 4 ítems</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Un recuadro «Cómo completar» con los límites y la regla de decisión a la vista</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Sin decisión por manguera</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Casilla Apta / Ajuste / Cierre por manguera, más resultado general y resumen</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Textos del procedimiento dentro del formulario</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Los pasos del técnico quedan en 6 líneas cortas (sección 3), con la referencia 9.3.x.x al procedimiento</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Firmas: fiscalizador y técnico</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Se agrega el representante de la estación, que recibe copia</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Sin datos de la estación</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Estación, ciudad, fecha y hora, tipo de servicio, temperatura y N° del último certificado</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2 páginas apaisadas, escaneadas</w:t>
            </w:r>
          </w:p>
        </w:tc>
        <w:tc>
          <w:tcPr>
            <w:tcW w:type="dxa" w:w="72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2 páginas A4 apaisadas, editables en Word y listas para imprimir</w:t>
            </w:r>
          </w:p>
        </w:tc>
      </w:tr>
    </w:tbl>
    <w:p>
      <w:pPr>
        <w:pStyle w:val="Heading2"/>
        <w:spacing w:after="100" w:before="240"/>
      </w:pPr>
      <w:r>
        <w:rPr>
          <w:rFonts w:ascii="Arial" w:cs="Arial" w:eastAsia="Arial" w:hAnsi="Arial"/>
          <w:b/>
          <w:bCs/>
          <w:color w:val="1F3A5F"/>
          <w:sz w:val="24"/>
          <w:szCs w:val="24"/>
        </w:rPr>
        <w:t xml:space="preserve">4. Cómo fiscalizan otros países</w:t>
      </w:r>
    </w:p>
    <w:p>
      <w:pPr>
        <w:spacing w:after="100" w:before="0"/>
      </w:pPr>
      <w:r>
        <w:rPr>
          <w:rFonts w:ascii="Arial" w:cs="Arial" w:eastAsia="Arial" w:hAnsi="Arial"/>
          <w:color w:val="595959"/>
          <w:sz w:val="19"/>
          <w:szCs w:val="19"/>
        </w:rPr>
        <w:t xml:space="preserve">Los resultados salieron de búsquedas en la web. No pude abrir los textos originales de OIML ni de NIST desde este entorno (acceso bloqueado), así que varias cifras vienen de prensa o de páginas de autoridades locales. Hay que contrastarlas con la norma antes de citarlas en un informe.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5406"/>
      </w:tblGrid>
      <w:tr>
        <w:trPr>
          <w:tblHeader/>
        </w:trPr>
        <w:tc>
          <w:tcPr>
            <w:tcW w:type="dxa" w:w="1500"/>
            <w:tcBorders>
              <w:top w:val="single" w:color="9AA5B1" w:sz="4"/>
              <w:left w:val="single" w:color="9AA5B1" w:sz="4"/>
              <w:bottom w:val="single" w:color="9AA5B1" w:sz="4"/>
              <w:right w:val="single" w:color="9AA5B1" w:sz="4"/>
            </w:tcBorders>
            <w:shd w:fill="E8EEF5" w:color="auto" w:val="clear"/>
            <w:tcMar>
              <w:top w:type="dxa" w:w="50"/>
              <w:left w:type="dxa" w:w="90"/>
              <w:bottom w:type="dxa" w:w="50"/>
              <w:right w:type="dxa" w:w="90"/>
            </w:tcMar>
          </w:tcPr>
          <w:p>
            <w:pPr>
              <w:spacing w:after="0" w:before="0"/>
            </w:pPr>
            <w:r>
              <w:rPr>
                <w:rFonts w:ascii="Arial" w:cs="Arial" w:eastAsia="Arial" w:hAnsi="Arial"/>
                <w:b/>
                <w:bCs/>
                <w:sz w:val="18"/>
                <w:szCs w:val="18"/>
              </w:rPr>
              <w:t xml:space="preserve">País</w:t>
            </w:r>
          </w:p>
        </w:tc>
        <w:tc>
          <w:tcPr>
            <w:tcW w:type="dxa" w:w="3300"/>
            <w:tcBorders>
              <w:top w:val="single" w:color="9AA5B1" w:sz="4"/>
              <w:left w:val="single" w:color="9AA5B1" w:sz="4"/>
              <w:bottom w:val="single" w:color="9AA5B1" w:sz="4"/>
              <w:right w:val="single" w:color="9AA5B1" w:sz="4"/>
            </w:tcBorders>
            <w:shd w:fill="E8EEF5" w:color="auto" w:val="clear"/>
            <w:tcMar>
              <w:top w:type="dxa" w:w="50"/>
              <w:left w:type="dxa" w:w="90"/>
              <w:bottom w:type="dxa" w:w="50"/>
              <w:right w:type="dxa" w:w="90"/>
            </w:tcMar>
          </w:tcPr>
          <w:p>
            <w:pPr>
              <w:spacing w:after="0" w:before="0"/>
            </w:pPr>
            <w:r>
              <w:rPr>
                <w:rFonts w:ascii="Arial" w:cs="Arial" w:eastAsia="Arial" w:hAnsi="Arial"/>
                <w:b/>
                <w:bCs/>
                <w:sz w:val="18"/>
                <w:szCs w:val="18"/>
              </w:rPr>
              <w:t xml:space="preserve">Marco</w:t>
            </w:r>
          </w:p>
        </w:tc>
        <w:tc>
          <w:tcPr>
            <w:tcW w:type="dxa" w:w="5406"/>
            <w:tcBorders>
              <w:top w:val="single" w:color="9AA5B1" w:sz="4"/>
              <w:left w:val="single" w:color="9AA5B1" w:sz="4"/>
              <w:bottom w:val="single" w:color="9AA5B1" w:sz="4"/>
              <w:right w:val="single" w:color="9AA5B1" w:sz="4"/>
            </w:tcBorders>
            <w:shd w:fill="E8EEF5" w:color="auto" w:val="clear"/>
            <w:tcMar>
              <w:top w:type="dxa" w:w="50"/>
              <w:left w:type="dxa" w:w="90"/>
              <w:bottom w:type="dxa" w:w="50"/>
              <w:right w:type="dxa" w:w="90"/>
            </w:tcMar>
          </w:tcPr>
          <w:p>
            <w:pPr>
              <w:spacing w:after="0" w:before="0"/>
            </w:pPr>
            <w:r>
              <w:rPr>
                <w:rFonts w:ascii="Arial" w:cs="Arial" w:eastAsia="Arial" w:hAnsi="Arial"/>
                <w:b/>
                <w:bCs/>
                <w:sz w:val="18"/>
                <w:szCs w:val="18"/>
              </w:rPr>
              <w:t xml:space="preserve">Qué verifican</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Perú</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Osinergmin, Procedimiento de Control Metrológico en Grifos y Estaciones de Servicio (RCD 400-2006-OS/CD)</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Error entre −0,5 % y +0,5 % en cada medición, a caudal máximo y a caudal mínimo. Basta que una medición pase el límite para abrir sanción.</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Brasil</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Inmetro, Portaria 559/2016; verificación por los Ipem estaduales</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Ensayo con recipiente de 20 L, integridad de los puntos de lacre y dígitos del indicador. La prensa del Ipem-PR cita 60 ml en 20 L como error máximo en contra del consumidor. Interdicción de las bombas reprobadas.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México</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Profeco, NOM-005-SCFI-2017</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Jarras de 20 L; según la prensa, tres ensayos por velocidad de despacho (baja, media y alta). Inmovilización de bombas y clausura de estaciones.</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Chile</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SEC, NCh 1436</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Matraz certificado de 20 L; tolerancia cercana a 100 ml según la prensa. Verificación solo por entidades autorizadas por la SEC.</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Colombia</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SIC, Res. 77507/2016 (mod. 67760/2018)</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Surtidores calibrados en cero y dentro de tolerancia en todo momento; sanciones por entrega inexacta.</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Estados Unidos</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NIST Handbook 44, sec. 3.30; inspectores estatales y de condado</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Ensayo con medida de 5 galones. En un condado: ±6 in³ por 5 gal en la visita anual y ±3 in³ en equipos nuevos o reparados. Se sella el equipo si aprueba. Se verifica cálculo del precio contra el precio anunciado, indicadores legibles, que no haya desvío de flujo y que la parada automática funcione. Se rechaza el equipo que, aun dentro de tolerancia, favorece sistemáticamente al propietario.</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España / UE</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Orden ICT/155/2020 (modificada en 2024)</w:t>
            </w:r>
          </w:p>
        </w:tc>
        <w:tc>
          <w:tcPr>
            <w:tcW w:type="dxa" w:w="5406"/>
            <w:tcBorders>
              <w:top w:val="single" w:color="9AA5B1" w:sz="4"/>
              <w:left w:val="single" w:color="9AA5B1" w:sz="4"/>
              <w:bottom w:val="single" w:color="9AA5B1" w:sz="4"/>
              <w:right w:val="single" w:color="9AA5B1" w:sz="4"/>
            </w:tcBorders>
            <w:tcMar>
              <w:top w:type="dxa" w:w="50"/>
              <w:left w:type="dxa" w:w="90"/>
              <w:bottom w:type="dxa" w:w="50"/>
              <w:right w:type="dxa" w:w="90"/>
            </w:tcMar>
          </w:tcPr>
          <w:p>
            <w:pPr>
              <w:spacing w:after="0" w:before="0"/>
            </w:pPr>
            <w:r>
              <w:rPr>
                <w:rFonts w:ascii="Arial" w:cs="Arial" w:eastAsia="Arial" w:hAnsi="Arial"/>
                <w:sz w:val="18"/>
                <w:szCs w:val="18"/>
              </w:rPr>
              <w:t xml:space="preserve">Control metrológico en servicio con verificación periódica y verificación tras reparación o modificación.</w:t>
            </w:r>
          </w:p>
        </w:tc>
      </w:tr>
    </w:tbl>
    <w:p>
      <w:pPr>
        <w:spacing w:after="80" w:before="0"/>
      </w:pPr>
      <w:r>
        <w:rPr>
          <w:rFonts w:ascii="Arial" w:cs="Arial" w:eastAsia="Arial" w:hAnsi="Arial"/>
          <w:sz w:val="20"/>
          <w:szCs w:val="20"/>
        </w:rPr>
        <w:t xml:space="preserve"/>
      </w:r>
    </w:p>
    <w:p>
      <w:pPr>
        <w:spacing w:after="60" w:before="0"/>
      </w:pPr>
      <w:r>
        <w:rPr>
          <w:rFonts w:ascii="Arial" w:cs="Arial" w:eastAsia="Arial" w:hAnsi="Arial"/>
          <w:b/>
          <w:bCs/>
          <w:sz w:val="20"/>
          <w:szCs w:val="20"/>
        </w:rPr>
        <w:t xml:space="preserve">Lo que se repite en todos:</w:t>
      </w:r>
    </w:p>
    <w:p>
      <w:pPr>
        <w:pStyle w:val="ListParagraph"/>
        <w:numPr>
          <w:ilvl w:val="0"/>
          <w:numId w:val="2"/>
        </w:numPr>
        <w:spacing w:after="60"/>
      </w:pPr>
      <w:r>
        <w:rPr>
          <w:rFonts w:ascii="Arial" w:cs="Arial" w:eastAsia="Arial" w:hAnsi="Arial"/>
          <w:sz w:val="20"/>
          <w:szCs w:val="20"/>
        </w:rPr>
        <w:t xml:space="preserve">Ensayo con medida patrón de 20 L (5 galones en EE. UU.), repetido varias veces.</w:t>
      </w:r>
    </w:p>
    <w:p>
      <w:pPr>
        <w:pStyle w:val="ListParagraph"/>
        <w:numPr>
          <w:ilvl w:val="0"/>
          <w:numId w:val="2"/>
        </w:numPr>
        <w:spacing w:after="60"/>
      </w:pPr>
      <w:r>
        <w:rPr>
          <w:rFonts w:ascii="Arial" w:cs="Arial" w:eastAsia="Arial" w:hAnsi="Arial"/>
          <w:sz w:val="20"/>
          <w:szCs w:val="20"/>
        </w:rPr>
        <w:t xml:space="preserve">Límite de error del orden de ±0,5 %, que es el que ya usa Bolivia, y que coincide con la clase de exactitud 0,5 de la OIML R 117.</w:t>
      </w:r>
    </w:p>
    <w:p>
      <w:pPr>
        <w:pStyle w:val="ListParagraph"/>
        <w:numPr>
          <w:ilvl w:val="0"/>
          <w:numId w:val="2"/>
        </w:numPr>
        <w:spacing w:after="60"/>
      </w:pPr>
      <w:r>
        <w:rPr>
          <w:rFonts w:ascii="Arial" w:cs="Arial" w:eastAsia="Arial" w:hAnsi="Arial"/>
          <w:sz w:val="20"/>
          <w:szCs w:val="20"/>
        </w:rPr>
        <w:t xml:space="preserve">Revisión de sellos o precintos, y marca visible de verificación en el surtidor.</w:t>
      </w:r>
    </w:p>
    <w:p>
      <w:pPr>
        <w:pStyle w:val="ListParagraph"/>
        <w:numPr>
          <w:ilvl w:val="0"/>
          <w:numId w:val="2"/>
        </w:numPr>
        <w:spacing w:after="60"/>
      </w:pPr>
      <w:r>
        <w:rPr>
          <w:rFonts w:ascii="Arial" w:cs="Arial" w:eastAsia="Arial" w:hAnsi="Arial"/>
          <w:sz w:val="20"/>
          <w:szCs w:val="20"/>
        </w:rPr>
        <w:t xml:space="preserve">Revisión del indicador: dígitos completos, precio unitario correcto y precio total bien calculado.</w:t>
      </w:r>
    </w:p>
    <w:p>
      <w:pPr>
        <w:pStyle w:val="ListParagraph"/>
        <w:numPr>
          <w:ilvl w:val="0"/>
          <w:numId w:val="2"/>
        </w:numPr>
        <w:spacing w:after="60"/>
      </w:pPr>
      <w:r>
        <w:rPr>
          <w:rFonts w:ascii="Arial" w:cs="Arial" w:eastAsia="Arial" w:hAnsi="Arial"/>
          <w:sz w:val="20"/>
          <w:szCs w:val="20"/>
        </w:rPr>
        <w:t xml:space="preserve">Una decisión por equipo: aprobar, ajustar o inmovilizar.</w:t>
      </w:r>
    </w:p>
    <w:p>
      <w:pPr>
        <w:spacing w:after="100" w:before="60"/>
      </w:pPr>
      <w:r>
        <w:rPr>
          <w:rFonts w:ascii="Arial" w:cs="Arial" w:eastAsia="Arial" w:hAnsi="Arial"/>
          <w:sz w:val="20"/>
          <w:szCs w:val="20"/>
        </w:rPr>
        <w:t xml:space="preserve">De ahí salen la tabla por manguera, la columna de precio y display, y la decisión Apta / Ajuste / Cierre.</w:t>
      </w:r>
    </w:p>
    <w:p>
      <w:pPr>
        <w:pStyle w:val="Heading2"/>
        <w:spacing w:after="100" w:before="240"/>
      </w:pPr>
      <w:r>
        <w:rPr>
          <w:rFonts w:ascii="Arial" w:cs="Arial" w:eastAsia="Arial" w:hAnsi="Arial"/>
          <w:b/>
          <w:bCs/>
          <w:color w:val="1F3A5F"/>
          <w:sz w:val="24"/>
          <w:szCs w:val="24"/>
        </w:rPr>
        <w:t xml:space="preserve">5. Puntos que conviene confirmar antes de aprobar el V.03</w:t>
      </w:r>
    </w:p>
    <w:p>
      <w:pPr>
        <w:pStyle w:val="ListParagraph"/>
        <w:numPr>
          <w:ilvl w:val="0"/>
          <w:numId w:val="2"/>
        </w:numPr>
        <w:spacing w:after="60"/>
      </w:pPr>
      <w:r>
        <w:rPr>
          <w:rFonts w:ascii="Arial" w:cs="Arial" w:eastAsia="Arial" w:hAnsi="Arial"/>
          <w:b/>
          <w:bCs/>
          <w:sz w:val="20"/>
          <w:szCs w:val="20"/>
        </w:rPr>
        <w:t xml:space="preserve">Cierre por dispersión mayor a 60 ml. </w:t>
      </w:r>
      <w:r>
        <w:rPr>
          <w:rFonts w:ascii="Arial" w:cs="Arial" w:eastAsia="Arial" w:hAnsi="Arial"/>
          <w:sz w:val="20"/>
          <w:szCs w:val="20"/>
        </w:rPr>
        <w:t xml:space="preserve">El V.02 solo dice que se ajusta si la repetibilidad está dentro del margen. Escribí que, si no lo está, la manguera no se puede ajustar y se procede según 9.3.4. No tengo el texto del 9.3.4.</w:t>
      </w:r>
    </w:p>
    <w:p>
      <w:pPr>
        <w:pStyle w:val="ListParagraph"/>
        <w:numPr>
          <w:ilvl w:val="0"/>
          <w:numId w:val="2"/>
        </w:numPr>
        <w:spacing w:after="60"/>
      </w:pPr>
      <w:r>
        <w:rPr>
          <w:rFonts w:ascii="Arial" w:cs="Arial" w:eastAsia="Arial" w:hAnsi="Arial"/>
          <w:b/>
          <w:bCs/>
          <w:sz w:val="20"/>
          <w:szCs w:val="20"/>
        </w:rPr>
        <w:t xml:space="preserve">Límite de 60 ml (0,3 %). </w:t>
      </w:r>
      <w:r>
        <w:rPr>
          <w:rFonts w:ascii="Arial" w:cs="Arial" w:eastAsia="Arial" w:hAnsi="Arial"/>
          <w:sz w:val="20"/>
          <w:szCs w:val="20"/>
        </w:rPr>
        <w:t xml:space="preserve">Lo conservé del V.02. No pude confirmar qué repetibilidad fija la OIML R 117; vale revisarlo con la edición vigente.</w:t>
      </w:r>
    </w:p>
    <w:p>
      <w:pPr>
        <w:pStyle w:val="ListParagraph"/>
        <w:numPr>
          <w:ilvl w:val="0"/>
          <w:numId w:val="2"/>
        </w:numPr>
        <w:spacing w:after="60"/>
      </w:pPr>
      <w:r>
        <w:rPr>
          <w:rFonts w:ascii="Arial" w:cs="Arial" w:eastAsia="Arial" w:hAnsi="Arial"/>
          <w:b/>
          <w:bCs/>
          <w:sz w:val="20"/>
          <w:szCs w:val="20"/>
        </w:rPr>
        <w:t xml:space="preserve">Caudal mínimo. </w:t>
      </w:r>
      <w:r>
        <w:rPr>
          <w:rFonts w:ascii="Arial" w:cs="Arial" w:eastAsia="Arial" w:hAnsi="Arial"/>
          <w:sz w:val="20"/>
          <w:szCs w:val="20"/>
        </w:rPr>
        <w:t xml:space="preserve">Perú y México ensayan a más de un caudal. El V.02 pide solo «flujo de operación» y lo mantuve así para no cambiar el procedimiento. Agregar un ensayo a caudal mínimo es una decisión de la DML.</w:t>
      </w:r>
    </w:p>
    <w:p>
      <w:pPr>
        <w:pStyle w:val="ListParagraph"/>
        <w:numPr>
          <w:ilvl w:val="0"/>
          <w:numId w:val="2"/>
        </w:numPr>
        <w:spacing w:after="60"/>
      </w:pPr>
      <w:r>
        <w:rPr>
          <w:rFonts w:ascii="Arial" w:cs="Arial" w:eastAsia="Arial" w:hAnsi="Arial"/>
          <w:b/>
          <w:bCs/>
          <w:sz w:val="20"/>
          <w:szCs w:val="20"/>
        </w:rPr>
        <w:t xml:space="preserve">Totalizador. </w:t>
      </w:r>
      <w:r>
        <w:rPr>
          <w:rFonts w:ascii="Arial" w:cs="Arial" w:eastAsia="Arial" w:hAnsi="Arial"/>
          <w:sz w:val="20"/>
          <w:szCs w:val="20"/>
        </w:rPr>
        <w:t xml:space="preserve">Sigue en la sección 3 como control del técnico, pero ya no tiene columna por manguera. Si lo necesita por surtidor, se agrega una columna.</w:t>
      </w:r>
    </w:p>
    <w:p>
      <w:pPr>
        <w:pStyle w:val="ListParagraph"/>
        <w:numPr>
          <w:ilvl w:val="0"/>
          <w:numId w:val="2"/>
        </w:numPr>
        <w:spacing w:after="60"/>
      </w:pPr>
      <w:r>
        <w:rPr>
          <w:rFonts w:ascii="Arial" w:cs="Arial" w:eastAsia="Arial" w:hAnsi="Arial"/>
          <w:b/>
          <w:bCs/>
          <w:sz w:val="20"/>
          <w:szCs w:val="20"/>
        </w:rPr>
        <w:t xml:space="preserve">Código y versión. </w:t>
      </w:r>
      <w:r>
        <w:rPr>
          <w:rFonts w:ascii="Arial" w:cs="Arial" w:eastAsia="Arial" w:hAnsi="Arial"/>
          <w:sz w:val="20"/>
          <w:szCs w:val="20"/>
        </w:rPr>
        <w:t xml:space="preserve">Dejé IBM-PG-15/F01 y «V.03 (propuesta)». El cambio de versión lo aprueba Calidad / DML.</w:t>
      </w:r>
    </w:p>
    <w:p>
      <w:pPr>
        <w:pStyle w:val="Heading2"/>
        <w:spacing w:after="100" w:before="240"/>
      </w:pPr>
      <w:r>
        <w:rPr>
          <w:rFonts w:ascii="Arial" w:cs="Arial" w:eastAsia="Arial" w:hAnsi="Arial"/>
          <w:b/>
          <w:bCs/>
          <w:color w:val="1F3A5F"/>
          <w:sz w:val="24"/>
          <w:szCs w:val="24"/>
        </w:rPr>
        <w:t xml:space="preserve">6. Fuentes</w:t>
      </w:r>
    </w:p>
    <w:p>
      <w:pPr>
        <w:pStyle w:val="ListParagraph"/>
        <w:numPr>
          <w:ilvl w:val="0"/>
          <w:numId w:val="2"/>
        </w:numPr>
        <w:spacing w:after="40"/>
      </w:pPr>
      <w:hyperlink w:history="1" r:id="rIdwsi3qjq_meb62bnmnbeuu">
        <w:r>
          <w:rPr>
            <w:rStyle w:val="Hyperlink"/>
            <w:rFonts w:ascii="Arial" w:cs="Arial" w:eastAsia="Arial" w:hAnsi="Arial"/>
            <w:sz w:val="18"/>
            <w:szCs w:val="18"/>
          </w:rPr>
          <w:t xml:space="preserve">Osinergmin, resoluciones de fiscalización 2018-2019 (ejemplo)</w:t>
        </w:r>
      </w:hyperlink>
    </w:p>
    <w:p>
      <w:pPr>
        <w:pStyle w:val="ListParagraph"/>
        <w:numPr>
          <w:ilvl w:val="0"/>
          <w:numId w:val="2"/>
        </w:numPr>
        <w:spacing w:after="40"/>
      </w:pPr>
      <w:hyperlink w:history="1" r:id="rIdczu3qpjvymir2b_onto8q">
        <w:r>
          <w:rPr>
            <w:rStyle w:val="Hyperlink"/>
            <w:rFonts w:ascii="Arial" w:cs="Arial" w:eastAsia="Arial" w:hAnsi="Arial"/>
            <w:sz w:val="18"/>
            <w:szCs w:val="18"/>
          </w:rPr>
          <w:t xml:space="preserve">Inmetro, Portaria 336/2019 (referencia a la Portaria 559/2016)</w:t>
        </w:r>
      </w:hyperlink>
    </w:p>
    <w:p>
      <w:pPr>
        <w:pStyle w:val="ListParagraph"/>
        <w:numPr>
          <w:ilvl w:val="0"/>
          <w:numId w:val="2"/>
        </w:numPr>
        <w:spacing w:after="40"/>
      </w:pPr>
      <w:hyperlink w:history="1" r:id="rIdqcw9bupllxjwdd7yg_vv0">
        <w:r>
          <w:rPr>
            <w:rStyle w:val="Hyperlink"/>
            <w:rFonts w:ascii="Arial" w:cs="Arial" w:eastAsia="Arial" w:hAnsi="Arial"/>
            <w:sz w:val="18"/>
            <w:szCs w:val="18"/>
          </w:rPr>
          <w:t xml:space="preserve">Ipem-PR, operación de verificación de bombas</w:t>
        </w:r>
      </w:hyperlink>
    </w:p>
    <w:p>
      <w:pPr>
        <w:pStyle w:val="ListParagraph"/>
        <w:numPr>
          <w:ilvl w:val="0"/>
          <w:numId w:val="2"/>
        </w:numPr>
        <w:spacing w:after="40"/>
      </w:pPr>
      <w:hyperlink w:history="1" r:id="rIdpxcjqjj_e_jgu4dbtzn9p">
        <w:r>
          <w:rPr>
            <w:rStyle w:val="Hyperlink"/>
            <w:rFonts w:ascii="Arial" w:cs="Arial" w:eastAsia="Arial" w:hAnsi="Arial"/>
            <w:sz w:val="18"/>
            <w:szCs w:val="18"/>
          </w:rPr>
          <w:t xml:space="preserve">Chile, fiscalización con matraz de 20 L (NCh 1436)</w:t>
        </w:r>
      </w:hyperlink>
    </w:p>
    <w:p>
      <w:pPr>
        <w:pStyle w:val="ListParagraph"/>
        <w:numPr>
          <w:ilvl w:val="0"/>
          <w:numId w:val="2"/>
        </w:numPr>
        <w:spacing w:after="40"/>
      </w:pPr>
      <w:hyperlink w:history="1" r:id="rIdcodeecudhykkpjjnutrtb">
        <w:r>
          <w:rPr>
            <w:rStyle w:val="Hyperlink"/>
            <w:rFonts w:ascii="Arial" w:cs="Arial" w:eastAsia="Arial" w:hAnsi="Arial"/>
            <w:sz w:val="18"/>
            <w:szCs w:val="18"/>
          </w:rPr>
          <w:t xml:space="preserve">Colombia, proyecto de resolución SIC sobre medidores de combustibles líquidos</w:t>
        </w:r>
      </w:hyperlink>
    </w:p>
    <w:p>
      <w:pPr>
        <w:pStyle w:val="ListParagraph"/>
        <w:numPr>
          <w:ilvl w:val="0"/>
          <w:numId w:val="2"/>
        </w:numPr>
        <w:spacing w:after="40"/>
      </w:pPr>
      <w:hyperlink w:history="1" r:id="rIdbygckqaudzer4qom_uw_l">
        <w:r>
          <w:rPr>
            <w:rStyle w:val="Hyperlink"/>
            <w:rFonts w:ascii="Arial" w:cs="Arial" w:eastAsia="Arial" w:hAnsi="Arial"/>
            <w:sz w:val="18"/>
            <w:szCs w:val="18"/>
          </w:rPr>
          <w:t xml:space="preserve">NIST, gasoline dispensers (Handbook 44, sec. 3.30)</w:t>
        </w:r>
      </w:hyperlink>
    </w:p>
    <w:p>
      <w:pPr>
        <w:pStyle w:val="ListParagraph"/>
        <w:numPr>
          <w:ilvl w:val="0"/>
          <w:numId w:val="2"/>
        </w:numPr>
        <w:spacing w:after="40"/>
      </w:pPr>
      <w:hyperlink w:history="1" r:id="rIdcssyatmahf4lrzizmotwb">
        <w:r>
          <w:rPr>
            <w:rStyle w:val="Hyperlink"/>
            <w:rFonts w:ascii="Arial" w:cs="Arial" w:eastAsia="Arial" w:hAnsi="Arial"/>
            <w:sz w:val="18"/>
            <w:szCs w:val="18"/>
          </w:rPr>
          <w:t xml:space="preserve">Stark County (Ohio), procedimiento de pruebas de surtidores</w:t>
        </w:r>
      </w:hyperlink>
    </w:p>
    <w:p>
      <w:pPr>
        <w:pStyle w:val="ListParagraph"/>
        <w:numPr>
          <w:ilvl w:val="0"/>
          <w:numId w:val="2"/>
        </w:numPr>
        <w:spacing w:after="40"/>
      </w:pPr>
      <w:hyperlink w:history="1" r:id="rIddojwupk7ywmxluqifn1ut">
        <w:r>
          <w:rPr>
            <w:rStyle w:val="Hyperlink"/>
            <w:rFonts w:ascii="Arial" w:cs="Arial" w:eastAsia="Arial" w:hAnsi="Arial"/>
            <w:sz w:val="18"/>
            <w:szCs w:val="18"/>
          </w:rPr>
          <w:t xml:space="preserve">OIML R 117-1:2019</w:t>
        </w:r>
      </w:hyperlink>
    </w:p>
    <w:p>
      <w:pPr>
        <w:pStyle w:val="ListParagraph"/>
        <w:numPr>
          <w:ilvl w:val="0"/>
          <w:numId w:val="2"/>
        </w:numPr>
        <w:spacing w:after="40"/>
      </w:pPr>
      <w:hyperlink w:history="1" r:id="rIdl4wsfz8kxy5sr_yzi4phd">
        <w:r>
          <w:rPr>
            <w:rStyle w:val="Hyperlink"/>
            <w:rFonts w:ascii="Arial" w:cs="Arial" w:eastAsia="Arial" w:hAnsi="Arial"/>
            <w:sz w:val="18"/>
            <w:szCs w:val="18"/>
          </w:rPr>
          <w:t xml:space="preserve">Junta de Andalucía, documento divulgativo sobre surtidores</w:t>
        </w:r>
      </w:hyperlink>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si3qjq_meb62bnmnbeuu" Type="http://schemas.openxmlformats.org/officeDocument/2006/relationships/hyperlink" Target="https://cdn.www.gob.pe/uploads/document/file/938940/Osinergmin-1587-2018-OS-OR_LORETO.pdf" TargetMode="External"/><Relationship Id="rIdczu3qpjvymir2b_onto8q" Type="http://schemas.openxmlformats.org/officeDocument/2006/relationships/hyperlink" Target="https://sibapem.com.br/wp-content/uploads/2023/01/Portaria-336-2019.pdf" TargetMode="External"/><Relationship Id="rIdqcw9bupllxjwdd7yg_vv0" Type="http://schemas.openxmlformats.org/officeDocument/2006/relationships/hyperlink" Target="https://www.parana.pr.gov.br/aen/Noticia/Operacao-do-Ipem-reprova-95-bombas-de-combustiveis-e-interdita-outras-6-no-Parana" TargetMode="External"/><Relationship Id="rIdpxcjqjj_e_jgu4dbtzn9p" Type="http://schemas.openxmlformats.org/officeDocument/2006/relationships/hyperlink" Target="https://portalinnova.cl/?p=256602" TargetMode="External"/><Relationship Id="rIdcodeecudhykkpjjnutrtb" Type="http://schemas.openxmlformats.org/officeDocument/2006/relationships/hyperlink" Target="https://sedeelectronica.sic.gov.co/sites/default/files/normatividad/Proyecto_Resolucion_Medidores_Combustibles_Liquidos.pdf" TargetMode="External"/><Relationship Id="rIdbygckqaudzer4qom_uw_l" Type="http://schemas.openxmlformats.org/officeDocument/2006/relationships/hyperlink" Target="https://www.nist.gov/pml/owm/owm-products-and-services/pages-topic/gasoline-dispensers" TargetMode="External"/><Relationship Id="rIdcssyatmahf4lrzizmotwb" Type="http://schemas.openxmlformats.org/officeDocument/2006/relationships/hyperlink" Target="https://starkcountyohio.gov/government/offices/auditor/other_departments/weights_and_measures/weights_and_measures_testing_procedures.php" TargetMode="External"/><Relationship Id="rIddojwupk7ywmxluqifn1ut" Type="http://schemas.openxmlformats.org/officeDocument/2006/relationships/hyperlink" Target="https://www.oiml.org/en/files/pdf_r/r117-1-e19.pdf" TargetMode="External"/><Relationship Id="rIdl4wsfz8kxy5sr_yzi4phd" Type="http://schemas.openxmlformats.org/officeDocument/2006/relationships/hyperlink" Target="https://juntadeandalucia.es/export/drupaljda//20210518.Documento_divulgativo.Surtidores.pdf"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de ajuste al formulario IBM-PG-15/F01</dc:title>
  <dc:creator>IBMETRO</dc:creator>
  <cp:lastModifiedBy>Un-named</cp:lastModifiedBy>
  <cp:revision>1</cp:revision>
  <dcterms:created xsi:type="dcterms:W3CDTF">2026-10-23T13:13:23.231Z</dcterms:created>
  <dcterms:modified xsi:type="dcterms:W3CDTF">2026-10-23T13:13:23.231Z</dcterms:modified>
</cp:coreProperties>
</file>

<file path=docProps/custom.xml><?xml version="1.0" encoding="utf-8"?>
<Properties xmlns="http://schemas.openxmlformats.org/officeDocument/2006/custom-properties" xmlns:vt="http://schemas.openxmlformats.org/officeDocument/2006/docPropsVTypes"/>
</file>