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276"/>
        <w:jc w:val="left"/>
      </w:pPr>
      <w:r>
        <w:rPr>
          <w:b/>
          <w:bCs/>
        </w:rPr>
        <w:t xml:space="preserve">SEÑOR</w:t>
      </w:r>
    </w:p>
    <w:p>
      <w:pPr>
        <w:spacing w:after="0" w:line="276"/>
        <w:jc w:val="left"/>
      </w:pPr>
      <w:r>
        <w:rPr>
          <w:b/>
          <w:bCs/>
        </w:rPr>
        <w:t xml:space="preserve">FERNANDO HUGO ARAMAYO CARRASCO</w:t>
      </w:r>
    </w:p>
    <w:p>
      <w:pPr>
        <w:spacing w:after="0" w:line="276"/>
        <w:jc w:val="left"/>
      </w:pPr>
      <w:r>
        <w:rPr>
          <w:b/>
          <w:bCs/>
        </w:rPr>
        <w:t xml:space="preserve">MINISTRO DE LA PRESIDENCIA</w:t>
      </w:r>
    </w:p>
    <w:p>
      <w:pPr>
        <w:spacing w:after="0" w:line="276"/>
        <w:jc w:val="left"/>
      </w:pPr>
      <w:r>
        <w:rPr>
          <w:b/>
          <w:bCs/>
        </w:rPr>
        <w:t xml:space="preserve">ESTADO PLURINACIONAL DE BOLIVIA</w:t>
      </w:r>
    </w:p>
    <w:p>
      <w:pPr>
        <w:spacing w:after="240" w:line="276"/>
        <w:jc w:val="left"/>
      </w:pPr>
      <w:r>
        <w:t xml:space="preserve">Presente.-</w:t>
      </w:r>
    </w:p>
    <w:p>
      <w:pPr>
        <w:spacing w:after="240" w:line="276"/>
        <w:jc w:val="both"/>
      </w:pPr>
      <w:r>
        <w:rPr>
          <w:b/>
          <w:bCs/>
        </w:rPr>
        <w:t xml:space="preserve">REF.: </w:t>
      </w:r>
      <w:r>
        <w:rPr>
          <w:b/>
          <w:bCs/>
        </w:rPr>
        <w:t xml:space="preserve">DENUNCIA POR PRESUNTO USO INDEBIDO DE RECURSOS PÚBLICOS, VIAJES Y COMISIONES OFICIALES CON FINES PERSONALES, PERCEPCIÓN INDEBIDA DE VIÁTICOS Y PASAJES, INCUMPLIMIENTO DE DEBERES Y DAÑO ECONÓMICO AL ESTADO, ATRIBUIBLES AL DIRECTOR GENERAL EJECUTIVO DEL INSTITUTO BOLIVIANO DE METROLOGÍA – IBMETRO.</w:t>
      </w:r>
    </w:p>
    <w:p>
      <w:pPr>
        <w:spacing w:after="160" w:line="276"/>
        <w:jc w:val="both"/>
      </w:pPr>
      <w:r>
        <w:t xml:space="preserve">De mi consideración:</w:t>
      </w:r>
    </w:p>
    <w:p>
      <w:pPr>
        <w:spacing w:after="160" w:line="276"/>
        <w:jc w:val="both"/>
      </w:pPr>
      <w:r>
        <w:t xml:space="preserve">Mediante la presente DENUNCIA se ponen en conocimiento de su autoridad hechos que revelan indicios de un uso indebido y sistemático de los recursos del Estado por parte de la máxima autoridad ejecutiva del Instituto Boliviano de Metrología – IBMETRO, consistente en la programación y autorización de viajes y comisiones oficiales con fines manifiestamente personales, estructurados de modo que la salida se produce habitualmente los días jueves o viernes y el retorno a la entidad los días lunes o martes siguientes, permitiendo al denunciado permanecer en el lugar de destino durante el fin de semana con cargo al erario público, percibiendo viáticos, pasajes y demás gastos de transporte y hospedaje sin que exista actividad institucional que justifique esa permanencia.</w:t>
      </w:r>
    </w:p>
    <w:p>
      <w:pPr>
        <w:spacing w:after="160" w:line="276"/>
        <w:jc w:val="both"/>
      </w:pPr>
      <w:r>
        <w:t xml:space="preserve">Los hechos involucran principalmente a:</w:t>
      </w:r>
    </w:p>
    <w:p>
      <w:pPr>
        <w:pStyle w:val="ListParagraph"/>
        <w:numPr>
          <w:ilvl w:val="0"/>
          <w:numId w:val="2"/>
        </w:numPr>
        <w:spacing w:after="160" w:line="276"/>
        <w:jc w:val="both"/>
      </w:pPr>
      <w:r>
        <w:t xml:space="preserve">SANTIAGO XAVIER TERCEROS PAVISICH, C.I. 5338310 S.C., Director General Ejecutivo de IBMETRO y máxima autoridad ejecutiva de la entidad, en su condición de beneficiario de las comisiones de viaje y, a la vez, de autoridad que las aprueba o cuya aprobación delega.</w:t>
      </w:r>
    </w:p>
    <w:p>
      <w:pPr>
        <w:pStyle w:val="ListParagraph"/>
        <w:numPr>
          <w:ilvl w:val="0"/>
          <w:numId w:val="2"/>
        </w:numPr>
        <w:spacing w:after="160" w:line="276"/>
        <w:jc w:val="both"/>
      </w:pPr>
      <w:r>
        <w:t xml:space="preserve">Los servidores públicos de las áreas administrativa, financiera y de recursos humanos de IBMETRO que resulten responsables de elaborar, revisar, aprobar, autorizar el gasto, devengar y pagar las órdenes o memorandos de comisión, planillas de viáticos, pasajes y rendiciones de cuentas, así como de controlar la presentación y el contenido de los informes de viaje, cuya identificación corresponde a la investigación.</w:t>
      </w:r>
    </w:p>
    <w:p>
      <w:pPr>
        <w:pStyle w:val="ListParagraph"/>
        <w:numPr>
          <w:ilvl w:val="0"/>
          <w:numId w:val="2"/>
        </w:numPr>
        <w:spacing w:after="160" w:line="276"/>
        <w:jc w:val="both"/>
      </w:pPr>
      <w:r>
        <w:t xml:space="preserve">Los servidores públicos que, conociendo estos hechos, los hubieran consentido, encubierto o regularizado a posteriori.</w:t>
      </w:r>
    </w:p>
    <w:p>
      <w:pPr>
        <w:spacing w:after="160" w:line="276"/>
        <w:jc w:val="both"/>
      </w:pPr>
      <w:r>
        <w:t xml:space="preserve">Se solicita que el Ministerio de la Presidencia, en el marco de sus atribuciones de coordinación institucional y de las competencias ejercidas a través del Viceministerio de Transparencia, Lucha Contra la Corrupción, Integridad Pública y Justicia, disponga la investigación y las acciones que correspondan, así como la remisión de antecedentes a la Contraloría General del Estado y al Ministerio Público, si así correspondiere.</w:t>
      </w:r>
    </w:p>
    <w:p>
      <w:pPr>
        <w:spacing w:after="160" w:before="280" w:line="276"/>
        <w:jc w:val="left"/>
      </w:pPr>
      <w:r>
        <w:rPr>
          <w:b/>
          <w:bCs/>
        </w:rPr>
        <w:t xml:space="preserve">I. HECHOS CENTRALES DE LA DENUNCIA</w:t>
      </w:r>
    </w:p>
    <w:p>
      <w:pPr>
        <w:spacing w:after="160" w:line="276"/>
        <w:jc w:val="both"/>
      </w:pPr>
      <w:r>
        <w:rPr>
          <w:b/>
          <w:bCs/>
        </w:rPr>
        <w:t xml:space="preserve">Primero. </w:t>
      </w:r>
      <w:r>
        <w:t xml:space="preserve">El Director General Ejecutivo de IBMETRO, Santiago Xavier Terceros Pavisich, viene realizando de manera reiterada viajes y comisiones oficiales, al interior y eventualmente al exterior del país, cuya programación no responde a la necesidad institucional ni a la agenda técnica de la entidad, sino a su conveniencia personal.</w:t>
      </w:r>
    </w:p>
    <w:p>
      <w:pPr>
        <w:spacing w:after="160" w:line="276"/>
        <w:jc w:val="both"/>
      </w:pPr>
      <w:r>
        <w:rPr>
          <w:b/>
          <w:bCs/>
        </w:rPr>
        <w:t xml:space="preserve">Segundo. </w:t>
      </w:r>
      <w:r>
        <w:t xml:space="preserve">El patrón identificado es constante y verificable en la documentación de la entidad: la salida en comisión se programa habitualmente para los días jueves o viernes y el retorno a la institución se registra los días lunes o martes siguientes. De ese modo, la comisión oficial —y con ella el pago de viáticos, pasajes, hospedaje, alimentación y, en su caso, el uso de vehículo institucional y combustible— cubre el sábado y el domingo, días en los que no existe actividad institucional, reunión, inspección, auditoría, ensayo, verificación metrológica, evento ni contraparte que justifique la permanencia del servidor en el lugar de destino.</w:t>
      </w:r>
    </w:p>
    <w:p>
      <w:pPr>
        <w:spacing w:after="160" w:line="276"/>
        <w:jc w:val="both"/>
      </w:pPr>
      <w:r>
        <w:rPr>
          <w:b/>
          <w:bCs/>
        </w:rPr>
        <w:t xml:space="preserve">Tercero. </w:t>
      </w:r>
      <w:r>
        <w:t xml:space="preserve">En los casos en que la actividad institucional invocada como motivo del viaje se desarrolla efectivamente, ésta se concentra en uno o dos días hábiles, de modo que los días restantes de la comisión carecen de respaldo y de finalidad pública, configurando una permanencia injustificada financiada con recursos del Estado.</w:t>
      </w:r>
    </w:p>
    <w:p>
      <w:pPr>
        <w:spacing w:after="160" w:line="276"/>
        <w:jc w:val="both"/>
      </w:pPr>
      <w:r>
        <w:rPr>
          <w:b/>
          <w:bCs/>
        </w:rPr>
        <w:t xml:space="preserve">Cuarto. </w:t>
      </w:r>
      <w:r>
        <w:t xml:space="preserve">La condición de máxima autoridad ejecutiva del denunciado agrava la situación, pues es él mismo quien autoriza o instruye la emisión de sus propias órdenes de comisión y quien aprueba, directa o indirectamente, la liquidación de sus viáticos, generando un evidente conflicto de intereses y la ausencia material de control por parte de una instancia independiente dentro de la entidad.</w:t>
      </w:r>
    </w:p>
    <w:p>
      <w:pPr>
        <w:spacing w:after="160" w:line="276"/>
        <w:jc w:val="both"/>
      </w:pPr>
      <w:r>
        <w:rPr>
          <w:b/>
          <w:bCs/>
        </w:rPr>
        <w:t xml:space="preserve">Quinto. </w:t>
      </w:r>
      <w:r>
        <w:t xml:space="preserve">No se tiene conocimiento de que los informes de viaje correspondientes —cuando existen— acrediten actividades realizadas los días sábado y domingo, ni de que contengan productos, actas, listas de asistencia, informes técnicos o resultados verificables que justifiquen la totalidad de los días pagados. Corresponde a la autoridad competente verificar este extremo mediante el cotejo de la documentación institucional.</w:t>
      </w:r>
    </w:p>
    <w:p>
      <w:pPr>
        <w:spacing w:after="160" w:line="276"/>
        <w:jc w:val="both"/>
      </w:pPr>
      <w:r>
        <w:rPr>
          <w:b/>
          <w:bCs/>
        </w:rPr>
        <w:t xml:space="preserve">Sexto. </w:t>
      </w:r>
      <w:r>
        <w:t xml:space="preserve">Tampoco se tiene conocimiento de que la entidad haya ejercido control sobre la correspondencia entre los días efectivamente trabajados en comisión y los días efectivamente pagados, ni de que haya dispuesto la devolución de los montos percibidos por días no justificados, lo que configuraría, además del uso indebido, una omisión de los responsables del control interno.</w:t>
      </w:r>
    </w:p>
    <w:p>
      <w:pPr>
        <w:spacing w:after="160" w:line="276"/>
        <w:jc w:val="both"/>
      </w:pPr>
      <w:r>
        <w:rPr>
          <w:b/>
          <w:bCs/>
        </w:rPr>
        <w:t xml:space="preserve">Séptimo. </w:t>
      </w:r>
      <w:r>
        <w:t xml:space="preserve">La reiteración de esta conducta durante un período prolongado implica: (i) la ausencia de la máxima autoridad ejecutiva de su puesto de trabajo durante días hábiles sin causa institucional, con el consiguiente retraso en la tramitación y aprobación de asuntos de la entidad; (ii) la erogación reiterada de recursos públicos sin contraprestación; y (iii) la generación de un daño económico al Estado cuyo monto debe ser cuantificado.</w:t>
      </w:r>
    </w:p>
    <w:p>
      <w:pPr>
        <w:spacing w:after="160" w:before="280" w:line="276"/>
        <w:jc w:val="left"/>
      </w:pPr>
      <w:r>
        <w:rPr>
          <w:b/>
          <w:bCs/>
        </w:rPr>
        <w:t xml:space="preserve">II. PATRÓN DE CONDUCTA QUE SE DENUNCIA</w:t>
      </w:r>
    </w:p>
    <w:p>
      <w:pPr>
        <w:spacing w:after="160" w:line="276"/>
        <w:jc w:val="both"/>
      </w:pPr>
      <w:r>
        <w:t xml:space="preserve">A efectos de orientar la verificación documental, el patrón denunciado se expresa del siguiente modo:</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2400"/>
        <w:gridCol w:w="2200"/>
      </w:tblGrid>
      <w:tr>
        <w:trPr>
          <w:tblHeader/>
        </w:trPr>
        <w:tc>
          <w:tcPr>
            <w:tcW w:type="dxa" w:w="1500"/>
            <w:shd w:fill="DDDDDD" w:color="auto" w:val="clear"/>
            <w:tcMar>
              <w:top w:type="dxa" w:w="60"/>
              <w:left w:type="dxa" w:w="90"/>
              <w:bottom w:type="dxa" w:w="60"/>
              <w:right w:type="dxa" w:w="90"/>
            </w:tcMar>
          </w:tcPr>
          <w:p>
            <w:pPr>
              <w:spacing w:after="40" w:line="240"/>
              <w:jc w:val="left"/>
            </w:pPr>
            <w:r>
              <w:rPr>
                <w:b/>
                <w:bCs/>
                <w:sz w:val="20"/>
                <w:szCs w:val="20"/>
              </w:rPr>
              <w:t xml:space="preserve">Elemento</w:t>
            </w:r>
          </w:p>
        </w:tc>
        <w:tc>
          <w:tcPr>
            <w:tcW w:type="dxa" w:w="2400"/>
            <w:shd w:fill="DDDDDD" w:color="auto" w:val="clear"/>
            <w:tcMar>
              <w:top w:type="dxa" w:w="60"/>
              <w:left w:type="dxa" w:w="90"/>
              <w:bottom w:type="dxa" w:w="60"/>
              <w:right w:type="dxa" w:w="90"/>
            </w:tcMar>
          </w:tcPr>
          <w:p>
            <w:pPr>
              <w:spacing w:after="40" w:line="240"/>
              <w:jc w:val="left"/>
            </w:pPr>
            <w:r>
              <w:rPr>
                <w:b/>
                <w:bCs/>
                <w:sz w:val="20"/>
                <w:szCs w:val="20"/>
              </w:rPr>
              <w:t xml:space="preserve">Lo que registra la documentación</w:t>
            </w:r>
          </w:p>
        </w:tc>
        <w:tc>
          <w:tcPr>
            <w:tcW w:type="dxa" w:w="2400"/>
            <w:shd w:fill="DDDDDD" w:color="auto" w:val="clear"/>
            <w:tcMar>
              <w:top w:type="dxa" w:w="60"/>
              <w:left w:type="dxa" w:w="90"/>
              <w:bottom w:type="dxa" w:w="60"/>
              <w:right w:type="dxa" w:w="90"/>
            </w:tcMar>
          </w:tcPr>
          <w:p>
            <w:pPr>
              <w:spacing w:after="40" w:line="240"/>
              <w:jc w:val="left"/>
            </w:pPr>
            <w:r>
              <w:rPr>
                <w:b/>
                <w:bCs/>
                <w:sz w:val="20"/>
                <w:szCs w:val="20"/>
              </w:rPr>
              <w:t xml:space="preserve">Lo que no existe o no se acredita</w:t>
            </w:r>
          </w:p>
        </w:tc>
        <w:tc>
          <w:tcPr>
            <w:tcW w:type="dxa" w:w="2200"/>
            <w:shd w:fill="DDDDDD" w:color="auto" w:val="clear"/>
            <w:tcMar>
              <w:top w:type="dxa" w:w="60"/>
              <w:left w:type="dxa" w:w="90"/>
              <w:bottom w:type="dxa" w:w="60"/>
              <w:right w:type="dxa" w:w="90"/>
            </w:tcMar>
          </w:tcPr>
          <w:p>
            <w:pPr>
              <w:spacing w:after="40" w:line="240"/>
              <w:jc w:val="left"/>
            </w:pPr>
            <w:r>
              <w:rPr>
                <w:b/>
                <w:bCs/>
                <w:sz w:val="20"/>
                <w:szCs w:val="20"/>
              </w:rPr>
              <w:t xml:space="preserve">Consecuencia</w:t>
            </w:r>
          </w:p>
        </w:tc>
      </w:tr>
      <w:tr>
        <w:trPr>
          <w:tblHeader w:val="false"/>
        </w:trPr>
        <w:tc>
          <w:tcPr>
            <w:tcW w:type="dxa" w:w="1500"/>
            <w:tcMar>
              <w:top w:type="dxa" w:w="60"/>
              <w:left w:type="dxa" w:w="90"/>
              <w:bottom w:type="dxa" w:w="60"/>
              <w:right w:type="dxa" w:w="90"/>
            </w:tcMar>
          </w:tcPr>
          <w:p>
            <w:pPr>
              <w:spacing w:after="40" w:line="240"/>
              <w:jc w:val="left"/>
            </w:pPr>
            <w:r>
              <w:rPr>
                <w:sz w:val="20"/>
                <w:szCs w:val="20"/>
              </w:rPr>
              <w:t xml:space="preserve">Fecha de salida</w:t>
            </w:r>
          </w:p>
        </w:tc>
        <w:tc>
          <w:tcPr>
            <w:tcW w:type="dxa" w:w="2400"/>
            <w:tcMar>
              <w:top w:type="dxa" w:w="60"/>
              <w:left w:type="dxa" w:w="90"/>
              <w:bottom w:type="dxa" w:w="60"/>
              <w:right w:type="dxa" w:w="90"/>
            </w:tcMar>
          </w:tcPr>
          <w:p>
            <w:pPr>
              <w:spacing w:after="40" w:line="240"/>
              <w:jc w:val="left"/>
            </w:pPr>
            <w:r>
              <w:rPr>
                <w:sz w:val="20"/>
                <w:szCs w:val="20"/>
              </w:rPr>
              <w:t xml:space="preserve">Jueves o viernes</w:t>
            </w:r>
          </w:p>
        </w:tc>
        <w:tc>
          <w:tcPr>
            <w:tcW w:type="dxa" w:w="2400"/>
            <w:tcMar>
              <w:top w:type="dxa" w:w="60"/>
              <w:left w:type="dxa" w:w="90"/>
              <w:bottom w:type="dxa" w:w="60"/>
              <w:right w:type="dxa" w:w="90"/>
            </w:tcMar>
          </w:tcPr>
          <w:p>
            <w:pPr>
              <w:spacing w:after="40" w:line="240"/>
              <w:jc w:val="left"/>
            </w:pPr>
            <w:r>
              <w:rPr>
                <w:sz w:val="20"/>
                <w:szCs w:val="20"/>
              </w:rPr>
              <w:t xml:space="preserve">Necesidad institucional de iniciar la comisión ese día y no un lunes o martes</w:t>
            </w:r>
          </w:p>
        </w:tc>
        <w:tc>
          <w:tcPr>
            <w:tcW w:type="dxa" w:w="2200"/>
            <w:tcMar>
              <w:top w:type="dxa" w:w="60"/>
              <w:left w:type="dxa" w:w="90"/>
              <w:bottom w:type="dxa" w:w="60"/>
              <w:right w:type="dxa" w:w="90"/>
            </w:tcMar>
          </w:tcPr>
          <w:p>
            <w:pPr>
              <w:spacing w:after="40" w:line="240"/>
              <w:jc w:val="left"/>
            </w:pPr>
            <w:r>
              <w:rPr>
                <w:sz w:val="20"/>
                <w:szCs w:val="20"/>
              </w:rPr>
              <w:t xml:space="preserve">Traslado del inicio de la comisión al umbral del fin de semana</w:t>
            </w:r>
          </w:p>
        </w:tc>
      </w:tr>
      <w:tr>
        <w:trPr>
          <w:tblHeader w:val="false"/>
        </w:trPr>
        <w:tc>
          <w:tcPr>
            <w:tcW w:type="dxa" w:w="1500"/>
            <w:tcMar>
              <w:top w:type="dxa" w:w="60"/>
              <w:left w:type="dxa" w:w="90"/>
              <w:bottom w:type="dxa" w:w="60"/>
              <w:right w:type="dxa" w:w="90"/>
            </w:tcMar>
          </w:tcPr>
          <w:p>
            <w:pPr>
              <w:spacing w:after="40" w:line="240"/>
              <w:jc w:val="left"/>
            </w:pPr>
            <w:r>
              <w:rPr>
                <w:sz w:val="20"/>
                <w:szCs w:val="20"/>
              </w:rPr>
              <w:t xml:space="preserve">Fecha de retorno</w:t>
            </w:r>
          </w:p>
        </w:tc>
        <w:tc>
          <w:tcPr>
            <w:tcW w:type="dxa" w:w="2400"/>
            <w:tcMar>
              <w:top w:type="dxa" w:w="60"/>
              <w:left w:type="dxa" w:w="90"/>
              <w:bottom w:type="dxa" w:w="60"/>
              <w:right w:type="dxa" w:w="90"/>
            </w:tcMar>
          </w:tcPr>
          <w:p>
            <w:pPr>
              <w:spacing w:after="40" w:line="240"/>
              <w:jc w:val="left"/>
            </w:pPr>
            <w:r>
              <w:rPr>
                <w:sz w:val="20"/>
                <w:szCs w:val="20"/>
              </w:rPr>
              <w:t xml:space="preserve">Lunes o martes</w:t>
            </w:r>
          </w:p>
        </w:tc>
        <w:tc>
          <w:tcPr>
            <w:tcW w:type="dxa" w:w="2400"/>
            <w:tcMar>
              <w:top w:type="dxa" w:w="60"/>
              <w:left w:type="dxa" w:w="90"/>
              <w:bottom w:type="dxa" w:w="60"/>
              <w:right w:type="dxa" w:w="90"/>
            </w:tcMar>
          </w:tcPr>
          <w:p>
            <w:pPr>
              <w:spacing w:after="40" w:line="240"/>
              <w:jc w:val="left"/>
            </w:pPr>
            <w:r>
              <w:rPr>
                <w:sz w:val="20"/>
                <w:szCs w:val="20"/>
              </w:rPr>
              <w:t xml:space="preserve">Actividad institucional los días sábado y domingo</w:t>
            </w:r>
          </w:p>
        </w:tc>
        <w:tc>
          <w:tcPr>
            <w:tcW w:type="dxa" w:w="2200"/>
            <w:tcMar>
              <w:top w:type="dxa" w:w="60"/>
              <w:left w:type="dxa" w:w="90"/>
              <w:bottom w:type="dxa" w:w="60"/>
              <w:right w:type="dxa" w:w="90"/>
            </w:tcMar>
          </w:tcPr>
          <w:p>
            <w:pPr>
              <w:spacing w:after="40" w:line="240"/>
              <w:jc w:val="left"/>
            </w:pPr>
            <w:r>
              <w:rPr>
                <w:sz w:val="20"/>
                <w:szCs w:val="20"/>
              </w:rPr>
              <w:t xml:space="preserve">Viáticos y estadía pagados por días no laborales ni justificados</w:t>
            </w:r>
          </w:p>
        </w:tc>
      </w:tr>
      <w:tr>
        <w:trPr>
          <w:tblHeader w:val="false"/>
        </w:trPr>
        <w:tc>
          <w:tcPr>
            <w:tcW w:type="dxa" w:w="1500"/>
            <w:tcMar>
              <w:top w:type="dxa" w:w="60"/>
              <w:left w:type="dxa" w:w="90"/>
              <w:bottom w:type="dxa" w:w="60"/>
              <w:right w:type="dxa" w:w="90"/>
            </w:tcMar>
          </w:tcPr>
          <w:p>
            <w:pPr>
              <w:spacing w:after="40" w:line="240"/>
              <w:jc w:val="left"/>
            </w:pPr>
            <w:r>
              <w:rPr>
                <w:sz w:val="20"/>
                <w:szCs w:val="20"/>
              </w:rPr>
              <w:t xml:space="preserve">Objeto del viaje</w:t>
            </w:r>
          </w:p>
        </w:tc>
        <w:tc>
          <w:tcPr>
            <w:tcW w:type="dxa" w:w="2400"/>
            <w:tcMar>
              <w:top w:type="dxa" w:w="60"/>
              <w:left w:type="dxa" w:w="90"/>
              <w:bottom w:type="dxa" w:w="60"/>
              <w:right w:type="dxa" w:w="90"/>
            </w:tcMar>
          </w:tcPr>
          <w:p>
            <w:pPr>
              <w:spacing w:after="40" w:line="240"/>
              <w:jc w:val="left"/>
            </w:pPr>
            <w:r>
              <w:rPr>
                <w:sz w:val="20"/>
                <w:szCs w:val="20"/>
              </w:rPr>
              <w:t xml:space="preserve">Actividad técnica o institucional de uno o dos días</w:t>
            </w:r>
          </w:p>
        </w:tc>
        <w:tc>
          <w:tcPr>
            <w:tcW w:type="dxa" w:w="2400"/>
            <w:tcMar>
              <w:top w:type="dxa" w:w="60"/>
              <w:left w:type="dxa" w:w="90"/>
              <w:bottom w:type="dxa" w:w="60"/>
              <w:right w:type="dxa" w:w="90"/>
            </w:tcMar>
          </w:tcPr>
          <w:p>
            <w:pPr>
              <w:spacing w:after="40" w:line="240"/>
              <w:jc w:val="left"/>
            </w:pPr>
            <w:r>
              <w:rPr>
                <w:sz w:val="20"/>
                <w:szCs w:val="20"/>
              </w:rPr>
              <w:t xml:space="preserve">Agenda, convocatoria o contraparte que ocupe todos los días de la comisión</w:t>
            </w:r>
          </w:p>
        </w:tc>
        <w:tc>
          <w:tcPr>
            <w:tcW w:type="dxa" w:w="2200"/>
            <w:tcMar>
              <w:top w:type="dxa" w:w="60"/>
              <w:left w:type="dxa" w:w="90"/>
              <w:bottom w:type="dxa" w:w="60"/>
              <w:right w:type="dxa" w:w="90"/>
            </w:tcMar>
          </w:tcPr>
          <w:p>
            <w:pPr>
              <w:spacing w:after="40" w:line="240"/>
              <w:jc w:val="left"/>
            </w:pPr>
            <w:r>
              <w:rPr>
                <w:sz w:val="20"/>
                <w:szCs w:val="20"/>
              </w:rPr>
              <w:t xml:space="preserve">Días de comisión sin respaldo ni finalidad pública</w:t>
            </w:r>
          </w:p>
        </w:tc>
      </w:tr>
      <w:tr>
        <w:trPr>
          <w:tblHeader w:val="false"/>
        </w:trPr>
        <w:tc>
          <w:tcPr>
            <w:tcW w:type="dxa" w:w="1500"/>
            <w:tcMar>
              <w:top w:type="dxa" w:w="60"/>
              <w:left w:type="dxa" w:w="90"/>
              <w:bottom w:type="dxa" w:w="60"/>
              <w:right w:type="dxa" w:w="90"/>
            </w:tcMar>
          </w:tcPr>
          <w:p>
            <w:pPr>
              <w:spacing w:after="40" w:line="240"/>
              <w:jc w:val="left"/>
            </w:pPr>
            <w:r>
              <w:rPr>
                <w:sz w:val="20"/>
                <w:szCs w:val="20"/>
              </w:rPr>
              <w:t xml:space="preserve">Informe de viaje</w:t>
            </w:r>
          </w:p>
        </w:tc>
        <w:tc>
          <w:tcPr>
            <w:tcW w:type="dxa" w:w="2400"/>
            <w:tcMar>
              <w:top w:type="dxa" w:w="60"/>
              <w:left w:type="dxa" w:w="90"/>
              <w:bottom w:type="dxa" w:w="60"/>
              <w:right w:type="dxa" w:w="90"/>
            </w:tcMar>
          </w:tcPr>
          <w:p>
            <w:pPr>
              <w:spacing w:after="40" w:line="240"/>
              <w:jc w:val="left"/>
            </w:pPr>
            <w:r>
              <w:rPr>
                <w:sz w:val="20"/>
                <w:szCs w:val="20"/>
              </w:rPr>
              <w:t xml:space="preserve">Informe genérico, o ausencia de informe</w:t>
            </w:r>
          </w:p>
        </w:tc>
        <w:tc>
          <w:tcPr>
            <w:tcW w:type="dxa" w:w="2400"/>
            <w:tcMar>
              <w:top w:type="dxa" w:w="60"/>
              <w:left w:type="dxa" w:w="90"/>
              <w:bottom w:type="dxa" w:w="60"/>
              <w:right w:type="dxa" w:w="90"/>
            </w:tcMar>
          </w:tcPr>
          <w:p>
            <w:pPr>
              <w:spacing w:after="40" w:line="240"/>
              <w:jc w:val="left"/>
            </w:pPr>
            <w:r>
              <w:rPr>
                <w:sz w:val="20"/>
                <w:szCs w:val="20"/>
              </w:rPr>
              <w:t xml:space="preserve">Productos, actas, listas de asistencia o resultados por cada día pagado</w:t>
            </w:r>
          </w:p>
        </w:tc>
        <w:tc>
          <w:tcPr>
            <w:tcW w:type="dxa" w:w="2200"/>
            <w:tcMar>
              <w:top w:type="dxa" w:w="60"/>
              <w:left w:type="dxa" w:w="90"/>
              <w:bottom w:type="dxa" w:w="60"/>
              <w:right w:type="dxa" w:w="90"/>
            </w:tcMar>
          </w:tcPr>
          <w:p>
            <w:pPr>
              <w:spacing w:after="40" w:line="240"/>
              <w:jc w:val="left"/>
            </w:pPr>
            <w:r>
              <w:rPr>
                <w:sz w:val="20"/>
                <w:szCs w:val="20"/>
              </w:rPr>
              <w:t xml:space="preserve">Imposibilidad de acreditar el destino de los recursos</w:t>
            </w:r>
          </w:p>
        </w:tc>
      </w:tr>
      <w:tr>
        <w:trPr>
          <w:tblHeader w:val="false"/>
        </w:trPr>
        <w:tc>
          <w:tcPr>
            <w:tcW w:type="dxa" w:w="1500"/>
            <w:tcMar>
              <w:top w:type="dxa" w:w="60"/>
              <w:left w:type="dxa" w:w="90"/>
              <w:bottom w:type="dxa" w:w="60"/>
              <w:right w:type="dxa" w:w="90"/>
            </w:tcMar>
          </w:tcPr>
          <w:p>
            <w:pPr>
              <w:spacing w:after="40" w:line="240"/>
              <w:jc w:val="left"/>
            </w:pPr>
            <w:r>
              <w:rPr>
                <w:sz w:val="20"/>
                <w:szCs w:val="20"/>
              </w:rPr>
              <w:t xml:space="preserve">Autorización</w:t>
            </w:r>
          </w:p>
        </w:tc>
        <w:tc>
          <w:tcPr>
            <w:tcW w:type="dxa" w:w="2400"/>
            <w:tcMar>
              <w:top w:type="dxa" w:w="60"/>
              <w:left w:type="dxa" w:w="90"/>
              <w:bottom w:type="dxa" w:w="60"/>
              <w:right w:type="dxa" w:w="90"/>
            </w:tcMar>
          </w:tcPr>
          <w:p>
            <w:pPr>
              <w:spacing w:after="40" w:line="240"/>
              <w:jc w:val="left"/>
            </w:pPr>
            <w:r>
              <w:rPr>
                <w:sz w:val="20"/>
                <w:szCs w:val="20"/>
              </w:rPr>
              <w:t xml:space="preserve">Emitida por la propia MAE o por delegación suya</w:t>
            </w:r>
          </w:p>
        </w:tc>
        <w:tc>
          <w:tcPr>
            <w:tcW w:type="dxa" w:w="2400"/>
            <w:tcMar>
              <w:top w:type="dxa" w:w="60"/>
              <w:left w:type="dxa" w:w="90"/>
              <w:bottom w:type="dxa" w:w="60"/>
              <w:right w:type="dxa" w:w="90"/>
            </w:tcMar>
          </w:tcPr>
          <w:p>
            <w:pPr>
              <w:spacing w:after="40" w:line="240"/>
              <w:jc w:val="left"/>
            </w:pPr>
            <w:r>
              <w:rPr>
                <w:sz w:val="20"/>
                <w:szCs w:val="20"/>
              </w:rPr>
              <w:t xml:space="preserve">Control independiente del gasto y de la pertinencia del viaje</w:t>
            </w:r>
          </w:p>
        </w:tc>
        <w:tc>
          <w:tcPr>
            <w:tcW w:type="dxa" w:w="2200"/>
            <w:tcMar>
              <w:top w:type="dxa" w:w="60"/>
              <w:left w:type="dxa" w:w="90"/>
              <w:bottom w:type="dxa" w:w="60"/>
              <w:right w:type="dxa" w:w="90"/>
            </w:tcMar>
          </w:tcPr>
          <w:p>
            <w:pPr>
              <w:spacing w:after="40" w:line="240"/>
              <w:jc w:val="left"/>
            </w:pPr>
            <w:r>
              <w:rPr>
                <w:sz w:val="20"/>
                <w:szCs w:val="20"/>
              </w:rPr>
              <w:t xml:space="preserve">Conflicto de intereses y ausencia de control interno</w:t>
            </w:r>
          </w:p>
        </w:tc>
      </w:tr>
    </w:tbl>
    <w:p>
      <w:pPr>
        <w:spacing w:after="0" w:line="276"/>
        <w:jc w:val="both"/>
      </w:pPr>
      <w:r>
        <w:t xml:space="preserve"/>
      </w:r>
    </w:p>
    <w:p>
      <w:pPr>
        <w:spacing w:after="160" w:line="276"/>
        <w:jc w:val="both"/>
      </w:pPr>
      <w:r>
        <w:t xml:space="preserve">La verificación de este patrón no requiere prueba testifical: resulta del simple cotejo, para un período determinado, de las órdenes o memorandos de comisión, los pasajes emitidos, las planillas de viáticos, los registros de asistencia y los informes de viaje obrantes en IBMETRO.</w:t>
      </w:r>
    </w:p>
    <w:p>
      <w:pPr>
        <w:spacing w:after="160" w:before="280" w:line="276"/>
        <w:jc w:val="left"/>
      </w:pPr>
      <w:r>
        <w:rPr>
          <w:b/>
          <w:bCs/>
        </w:rPr>
        <w:t xml:space="preserve">III. PRESUNTO USO INDEBIDO DE RECURSOS PÚBLICOS Y DAÑO ECONÓMICO AL ESTADO</w:t>
      </w:r>
    </w:p>
    <w:p>
      <w:pPr>
        <w:spacing w:after="160" w:line="276"/>
        <w:jc w:val="both"/>
      </w:pPr>
      <w:r>
        <w:t xml:space="preserve">El viático no constituye un beneficio ni un complemento salarial, sino un reembolso o asignación destinada exclusivamente a cubrir los gastos de alimentación y hospedaje en que incurre el servidor público cuando debe desplazarse fuera de su sede habitual de funciones para cumplir una actividad propia de la entidad. Su procedencia está condicionada a la existencia de una comisión real, debidamente autorizada, con objeto institucional determinado, y a la rendición de cuentas e informe que acredite su cumplimiento.</w:t>
      </w:r>
    </w:p>
    <w:p>
      <w:pPr>
        <w:spacing w:after="160" w:line="276"/>
        <w:jc w:val="both"/>
      </w:pPr>
      <w:r>
        <w:t xml:space="preserve">En consecuencia, cuando la comisión se extiende a días en los que no se desarrolla actividad institucional alguna, el pago correspondiente a esos días carece de causa y constituye una erogación indebida de recursos públicos. Si además esa extensión es deliberada y responde al propósito de permanecer en el lugar de destino por razones personales o de esparcimiento, la conducta deja de ser una irregularidad administrativa aislada y adquiere los caracteres de un aprovechamiento del cargo.</w:t>
      </w:r>
    </w:p>
    <w:p>
      <w:pPr>
        <w:spacing w:after="160" w:line="276"/>
        <w:jc w:val="both"/>
      </w:pPr>
      <w:r>
        <w:t xml:space="preserve">A ello se suma que, tratándose de la máxima autoridad ejecutiva, sobre el denunciado recaen de manera reforzada los deberes de probidad, austeridad, eficiencia en el uso de los recursos públicos, ejemplaridad y de exigir al resto del personal el cumplimiento de las normas de control interno. La conducta descrita, además del daño patrimonial directo, deteriora el sistema de control de la entidad y el principio de autoridad, pues difícilmente podrá observarse al personal subalterno una conducta que la propia autoridad incumple.</w:t>
      </w:r>
    </w:p>
    <w:p>
      <w:pPr>
        <w:spacing w:after="160" w:line="276"/>
        <w:jc w:val="both"/>
      </w:pPr>
      <w:r>
        <w:t xml:space="preserve">El daño económico al Estado no se limita al importe de los viáticos indebidamente percibidos. Debe cuantificarse integralmente considerando: los viáticos pagados por días no justificados; el costo de los pasajes cuya fecha fue fijada en función de la conveniencia personal y no de la tarifa o itinerario más conveniente para la entidad; las penalidades, recargos o diferencias por cambios y reprogramaciones de boletos; el combustible, peajes, desgaste y depreciación del vehículo institucional si éste fue utilizado; las horas de trabajo remuneradas y no prestadas durante los días hábiles de ausencia injustificada; y, en su caso, los gastos de viáticos y pasajes de los servidores que hubieran sido incorporados a la comisión sin necesidad funcional.</w:t>
      </w:r>
    </w:p>
    <w:p>
      <w:pPr>
        <w:spacing w:after="160" w:before="280" w:line="276"/>
        <w:jc w:val="left"/>
      </w:pPr>
      <w:r>
        <w:rPr>
          <w:b/>
          <w:bCs/>
        </w:rPr>
        <w:t xml:space="preserve">IV. MARCO NORMATIVO APLICABLE</w:t>
      </w:r>
    </w:p>
    <w:p>
      <w:pPr>
        <w:spacing w:after="160" w:line="276"/>
        <w:jc w:val="both"/>
      </w:pPr>
      <w:r>
        <w:t xml:space="preserve">Sin perjuicio de la calificación que realicen las autoridades competentes, los hechos denunciados guardan relación con las siguientes normas:</w:t>
      </w:r>
    </w:p>
    <w:p>
      <w:pPr>
        <w:pStyle w:val="ListParagraph"/>
        <w:numPr>
          <w:ilvl w:val="0"/>
          <w:numId w:val="3"/>
        </w:numPr>
        <w:spacing w:after="160" w:line="276"/>
        <w:jc w:val="both"/>
      </w:pPr>
      <w:r>
        <w:t xml:space="preserve">Constitución Política del Estado: Art. 108 (deber de resguardar, defender y proteger el patrimonio del Estado y de denunciar actos de corrupción); Art. 232 (principios de la función pública: legalidad, transparencia, eficiencia, eficacia, responsabilidad, probidad, honestidad y resultados); Art. 233 y Art. 235 (obligaciones de las servidoras y servidores públicos, entre ellas cumplir la Constitución y las leyes y desempeñar sus funciones exclusivamente al servicio del interés colectivo); y Art. 324 (imprescriptibilidad de las deudas por daños económicos causados al Estado).</w:t>
      </w:r>
    </w:p>
    <w:p>
      <w:pPr>
        <w:pStyle w:val="ListParagraph"/>
        <w:numPr>
          <w:ilvl w:val="0"/>
          <w:numId w:val="3"/>
        </w:numPr>
        <w:spacing w:after="160" w:line="276"/>
        <w:jc w:val="both"/>
      </w:pPr>
      <w:r>
        <w:t xml:space="preserve">Ley N.º 1178 (SAFCO): Arts. 1, 27, 28, 29, 30, 31 y 34, en cuanto establecen que todo servidor público responde por los resultados de su gestión y por el uso de los recursos que le fueron confiados, y definen la responsabilidad administrativa, ejecutiva, civil y penal; así como el Sistema de Control Interno y el Sistema de Administración de Personal.</w:t>
      </w:r>
    </w:p>
    <w:p>
      <w:pPr>
        <w:pStyle w:val="ListParagraph"/>
        <w:numPr>
          <w:ilvl w:val="0"/>
          <w:numId w:val="3"/>
        </w:numPr>
        <w:spacing w:after="160" w:line="276"/>
        <w:jc w:val="both"/>
      </w:pPr>
      <w:r>
        <w:t xml:space="preserve">D.S. N.º 23318-A (Reglamento de la Responsabilidad por la Función Pública), modificado por el D.S. N.º 26237, en lo referente a la responsabilidad administrativa por contravención del ordenamiento jurídico y de las normas de conducta, y a la responsabilidad civil por el daño al Estado valuable en dinero.</w:t>
      </w:r>
    </w:p>
    <w:p>
      <w:pPr>
        <w:pStyle w:val="ListParagraph"/>
        <w:numPr>
          <w:ilvl w:val="0"/>
          <w:numId w:val="3"/>
        </w:numPr>
        <w:spacing w:after="160" w:line="276"/>
        <w:jc w:val="both"/>
      </w:pPr>
      <w:r>
        <w:t xml:space="preserve">Código Penal, modificado por la Ley N.º 004 (Marcelo Quiroga Santa Cruz): Art. 224 (uso indebido de bienes y servicios públicos), Art. 154 (incumplimiento de deberes), Art. 223 (conducta antieconómica) y Art. 142 (peculado), sin perjuicio de los delitos de falsedad material, falsedad ideológica y uso de instrumento falsificado (Arts. 198, 199 y 203), en el supuesto de que las órdenes de comisión, planillas o informes de viaje consignen actividades, fechas o destinos no veraces, y de los demás tipos penales que pudieran configurarse a partir de la investigación.</w:t>
      </w:r>
    </w:p>
    <w:p>
      <w:pPr>
        <w:pStyle w:val="ListParagraph"/>
        <w:numPr>
          <w:ilvl w:val="0"/>
          <w:numId w:val="3"/>
        </w:numPr>
        <w:spacing w:after="160" w:line="276"/>
        <w:jc w:val="both"/>
      </w:pPr>
      <w:r>
        <w:t xml:space="preserve">Ley N.º 2027 (Estatuto del Funcionario Público) y sus modificaciones: deberes, prohibiciones e incompatibilidades de los servidores públicos, en especial el deber de dedicación a la función pública durante la jornada laboral y la prohibición de utilizar los recursos de la entidad en provecho propio.</w:t>
      </w:r>
    </w:p>
    <w:p>
      <w:pPr>
        <w:pStyle w:val="ListParagraph"/>
        <w:numPr>
          <w:ilvl w:val="0"/>
          <w:numId w:val="3"/>
        </w:numPr>
        <w:spacing w:after="160" w:line="276"/>
        <w:jc w:val="both"/>
      </w:pPr>
      <w:r>
        <w:t xml:space="preserve">D.S. N.º 26319 (Normas de Conducta Ética del Servidor Público): principios de probidad, austeridad, uso adecuado de los recursos públicos y deber de evitar situaciones de conflicto de intereses.</w:t>
      </w:r>
    </w:p>
    <w:p>
      <w:pPr>
        <w:pStyle w:val="ListParagraph"/>
        <w:numPr>
          <w:ilvl w:val="0"/>
          <w:numId w:val="3"/>
        </w:numPr>
        <w:spacing w:after="160" w:line="276"/>
        <w:jc w:val="both"/>
      </w:pPr>
      <w:r>
        <w:t xml:space="preserve">D.S. N.º 26115 (Normas Básicas del Sistema de Administración de Personal): programación de operaciones de personal, jornada de trabajo, control de asistencia, permisos y licencias, y evaluación del desempeño.</w:t>
      </w:r>
    </w:p>
    <w:p>
      <w:pPr>
        <w:pStyle w:val="ListParagraph"/>
        <w:numPr>
          <w:ilvl w:val="0"/>
          <w:numId w:val="3"/>
        </w:numPr>
        <w:spacing w:after="160" w:line="276"/>
        <w:jc w:val="both"/>
      </w:pPr>
      <w:r>
        <w:t xml:space="preserve">Normativa aplicable al pago de viáticos y pasajes al sector público —D.S. N.º 21137 y las disposiciones que lo han complementado, modificado y actualizado, incluidas las escalas y condiciones vigentes— así como el Reglamento Específico interno de viáticos, pasajes y comisiones de IBMETRO y su Reglamento Interno de Personal, cuya existencia, contenido y aplicación deberán ser verificados por la autoridad competente.</w:t>
      </w:r>
    </w:p>
    <w:p>
      <w:pPr>
        <w:pStyle w:val="ListParagraph"/>
        <w:numPr>
          <w:ilvl w:val="0"/>
          <w:numId w:val="3"/>
        </w:numPr>
        <w:spacing w:after="160" w:line="276"/>
        <w:jc w:val="both"/>
      </w:pPr>
      <w:r>
        <w:t xml:space="preserve">Normas Básicas del Sistema de Presupuesto y del Sistema de Tesorería, en cuanto exigen que todo gasto público cuente con respaldo documental suficiente, legítimo y pertinente para su compromiso, devengamiento y pago, y que responda a los objetivos institucionales programados.</w:t>
      </w:r>
    </w:p>
    <w:p>
      <w:pPr>
        <w:pStyle w:val="ListParagraph"/>
        <w:numPr>
          <w:ilvl w:val="0"/>
          <w:numId w:val="3"/>
        </w:numPr>
        <w:spacing w:after="160" w:line="276"/>
        <w:jc w:val="both"/>
      </w:pPr>
      <w:r>
        <w:t xml:space="preserve">D.S. N.º 0181 (Normas Básicas del Sistema de Administración de Bienes y Servicios), en lo relativo a la contratación de pasajes y servicios de transporte y hospedaje, y al manejo, uso, custodia y control de los bienes del Estado, incluidos los vehículos oficiales.</w:t>
      </w:r>
    </w:p>
    <w:p>
      <w:pPr>
        <w:pStyle w:val="ListParagraph"/>
        <w:numPr>
          <w:ilvl w:val="0"/>
          <w:numId w:val="3"/>
        </w:numPr>
        <w:spacing w:after="160" w:line="276"/>
        <w:jc w:val="both"/>
      </w:pPr>
      <w:r>
        <w:t xml:space="preserve">Ley N.º 974 (Unidades de Transparencia y Lucha Contra la Corrupción) y Ley N.º 458 (Protección de Denunciantes y Testigos), que sustentan la tramitación de esta denuncia y la protección de quienes aporten información.</w:t>
      </w:r>
    </w:p>
    <w:p>
      <w:pPr>
        <w:spacing w:after="160" w:before="280" w:line="276"/>
        <w:jc w:val="left"/>
      </w:pPr>
      <w:r>
        <w:rPr>
          <w:b/>
          <w:bCs/>
        </w:rPr>
        <w:t xml:space="preserve">V. HECHOS QUE CORRESPONDE ESTABLECER</w:t>
      </w:r>
    </w:p>
    <w:p>
      <w:pPr>
        <w:spacing w:after="160" w:line="276"/>
        <w:jc w:val="both"/>
      </w:pPr>
      <w:r>
        <w:t xml:space="preserve">Se solicita que la investigación determine, mediante el requerimiento y análisis de la documentación institucional y las declaraciones que correspondan, al menos lo siguiente:</w:t>
      </w:r>
    </w:p>
    <w:p>
      <w:pPr>
        <w:pStyle w:val="ListParagraph"/>
        <w:numPr>
          <w:ilvl w:val="0"/>
          <w:numId w:val="4"/>
        </w:numPr>
        <w:spacing w:after="160" w:line="276"/>
        <w:jc w:val="both"/>
      </w:pPr>
      <w:r>
        <w:t xml:space="preserve">La nómina completa de viajes y comisiones oficiales, al interior y exterior del país, realizados por Santiago Xavier Terceros Pavisich desde su designación como Director General Ejecutivo de IBMETRO hasta la fecha, con indicación de fecha de salida, fecha de retorno, destino, objeto y monto total erogado.</w:t>
      </w:r>
    </w:p>
    <w:p>
      <w:pPr>
        <w:pStyle w:val="ListParagraph"/>
        <w:numPr>
          <w:ilvl w:val="0"/>
          <w:numId w:val="4"/>
        </w:numPr>
        <w:spacing w:after="160" w:line="276"/>
        <w:jc w:val="both"/>
      </w:pPr>
      <w:r>
        <w:t xml:space="preserve">Copia de todas las órdenes, memorandos o instructivos de comisión, con identificación de la autoridad que los emitió y aprobó, y de la autoridad que autorizó el gasto.</w:t>
      </w:r>
    </w:p>
    <w:p>
      <w:pPr>
        <w:pStyle w:val="ListParagraph"/>
        <w:numPr>
          <w:ilvl w:val="0"/>
          <w:numId w:val="4"/>
        </w:numPr>
        <w:spacing w:after="160" w:line="276"/>
        <w:jc w:val="both"/>
      </w:pPr>
      <w:r>
        <w:t xml:space="preserve">Copia de las planillas de viáticos, liquidaciones, rendiciones de cuentas, comprobantes de pago (C-31 o equivalentes) y respaldos de todos los viajes señalados.</w:t>
      </w:r>
    </w:p>
    <w:p>
      <w:pPr>
        <w:pStyle w:val="ListParagraph"/>
        <w:numPr>
          <w:ilvl w:val="0"/>
          <w:numId w:val="4"/>
        </w:numPr>
        <w:spacing w:after="160" w:line="276"/>
        <w:jc w:val="both"/>
      </w:pPr>
      <w:r>
        <w:t xml:space="preserve">Copia de los pasajes aéreos y terrestres emitidos, con fecha de emisión, itinerario, costo, eventuales cambios, penalidades y la justificación de la elección de fechas y horarios.</w:t>
      </w:r>
    </w:p>
    <w:p>
      <w:pPr>
        <w:pStyle w:val="ListParagraph"/>
        <w:numPr>
          <w:ilvl w:val="0"/>
          <w:numId w:val="4"/>
        </w:numPr>
        <w:spacing w:after="160" w:line="276"/>
        <w:jc w:val="both"/>
      </w:pPr>
      <w:r>
        <w:t xml:space="preserve">Copia de los informes de viaje presentados, con sus anexos, a efectos de verificar la correspondencia entre los días pagados y las actividades efectivamente realizadas y acreditadas, día por día.</w:t>
      </w:r>
    </w:p>
    <w:p>
      <w:pPr>
        <w:pStyle w:val="ListParagraph"/>
        <w:numPr>
          <w:ilvl w:val="0"/>
          <w:numId w:val="4"/>
        </w:numPr>
        <w:spacing w:after="160" w:line="276"/>
        <w:jc w:val="both"/>
      </w:pPr>
      <w:r>
        <w:t xml:space="preserve">Si existen informes de viaje faltantes, presentados fuera de plazo o aprobados sin respaldo, y quién tenía el deber de exigirlos y controlarlos.</w:t>
      </w:r>
    </w:p>
    <w:p>
      <w:pPr>
        <w:pStyle w:val="ListParagraph"/>
        <w:numPr>
          <w:ilvl w:val="0"/>
          <w:numId w:val="4"/>
        </w:numPr>
        <w:spacing w:after="160" w:line="276"/>
        <w:jc w:val="both"/>
      </w:pPr>
      <w:r>
        <w:t xml:space="preserve">El registro de asistencia, marcado biométrico o equivalente del denunciado, a efectos de contrastar los días de ausencia con los días de comisión autorizados.</w:t>
      </w:r>
    </w:p>
    <w:p>
      <w:pPr>
        <w:pStyle w:val="ListParagraph"/>
        <w:numPr>
          <w:ilvl w:val="0"/>
          <w:numId w:val="4"/>
        </w:numPr>
        <w:spacing w:after="160" w:line="276"/>
        <w:jc w:val="both"/>
      </w:pPr>
      <w:r>
        <w:t xml:space="preserve">Si en alguno de los viajes se utilizó vehículo institucional, con los registros de GPS, bitácoras, hojas de ruta, órdenes de movilización, consumo de combustible y nombre del conductor.</w:t>
      </w:r>
    </w:p>
    <w:p>
      <w:pPr>
        <w:pStyle w:val="ListParagraph"/>
        <w:numPr>
          <w:ilvl w:val="0"/>
          <w:numId w:val="4"/>
        </w:numPr>
        <w:spacing w:after="160" w:line="276"/>
        <w:jc w:val="both"/>
      </w:pPr>
      <w:r>
        <w:t xml:space="preserve">Si en alguno de los viajes fueron incorporados otros servidores públicos sin necesidad funcional acreditada, o personas ajenas a la entidad, y con cargo a qué recursos.</w:t>
      </w:r>
    </w:p>
    <w:p>
      <w:pPr>
        <w:pStyle w:val="ListParagraph"/>
        <w:numPr>
          <w:ilvl w:val="0"/>
          <w:numId w:val="4"/>
        </w:numPr>
        <w:spacing w:after="160" w:line="276"/>
        <w:jc w:val="both"/>
      </w:pPr>
      <w:r>
        <w:t xml:space="preserve">Si existió coincidencia entre las fechas de comisión y actividades de carácter personal, familiar, social o de esparcimiento en el lugar de destino.</w:t>
      </w:r>
    </w:p>
    <w:p>
      <w:pPr>
        <w:pStyle w:val="ListParagraph"/>
        <w:numPr>
          <w:ilvl w:val="0"/>
          <w:numId w:val="4"/>
        </w:numPr>
        <w:spacing w:after="160" w:line="276"/>
        <w:jc w:val="both"/>
      </w:pPr>
      <w:r>
        <w:t xml:space="preserve">El monto total del eventual daño económico ocasionado a la entidad y al Estado, conforme a los componentes señalados en el punto III.</w:t>
      </w:r>
    </w:p>
    <w:p>
      <w:pPr>
        <w:pStyle w:val="ListParagraph"/>
        <w:numPr>
          <w:ilvl w:val="0"/>
          <w:numId w:val="4"/>
        </w:numPr>
        <w:spacing w:after="160" w:line="276"/>
        <w:jc w:val="both"/>
      </w:pPr>
      <w:r>
        <w:t xml:space="preserve">Si se elaboró algún informe interno, observación de auditoría o requerimiento de devolución sobre estos hechos, y si existieron intentos de ocultar, modificar o regularizar a posteriori la documentación.</w:t>
      </w:r>
    </w:p>
    <w:p>
      <w:pPr>
        <w:pStyle w:val="ListParagraph"/>
        <w:numPr>
          <w:ilvl w:val="0"/>
          <w:numId w:val="4"/>
        </w:numPr>
        <w:spacing w:after="160" w:line="276"/>
        <w:jc w:val="both"/>
      </w:pPr>
      <w:r>
        <w:t xml:space="preserve">La identificación de los servidores públicos responsables, por acción u omisión, en la autorización, ejecución, pago y control de dichas comisiones.</w:t>
      </w:r>
    </w:p>
    <w:p>
      <w:pPr>
        <w:spacing w:after="160" w:before="280" w:line="276"/>
        <w:jc w:val="left"/>
      </w:pPr>
      <w:r>
        <w:rPr>
          <w:b/>
          <w:bCs/>
        </w:rPr>
        <w:t xml:space="preserve">VI. ANTECEDENTES ANTE LA UTLCC</w:t>
      </w:r>
    </w:p>
    <w:p>
      <w:pPr>
        <w:spacing w:after="160" w:line="276"/>
        <w:jc w:val="both"/>
      </w:pPr>
      <w:r>
        <w:t xml:space="preserve">Existen denuncias anteriores registradas en la Unidad de Transparencia y Lucha Contra la Corrupción del Ministerio del cual depende IBMETRO, que involucran a la misma autoridad, entre ellas la registrada con CITE: MDPRA-UTLCC-FD-Z-48-2026 y Hoja de Ruta: MDPRA-UTLCC-51-2026, de fecha 25 de agosto de 2026, así como la denuncia por el presunto uso indebido del vehículo institucional con placa 6372NCS, siniestrado el 15 de mayo de 2026 en circunstancias ajenas al ejercicio de funciones oficiales.</w:t>
      </w:r>
    </w:p>
    <w:p>
      <w:pPr>
        <w:spacing w:after="160" w:line="276"/>
        <w:jc w:val="both"/>
      </w:pPr>
      <w:r>
        <w:t xml:space="preserve">Se solicita que los hechos aquí expuestos sean considerados de manera conjunta e integral con dichos antecedentes, por cuanto no se trata de hechos aislados, sino de un patrón reiterado de utilización de los recursos y bienes de la entidad para fines personales por parte de la misma autoridad, lo que resulta relevante para la valoración de la gravedad y de la reincidencia.</w:t>
      </w:r>
    </w:p>
    <w:p>
      <w:pPr>
        <w:spacing w:after="160" w:before="280" w:line="276"/>
        <w:jc w:val="left"/>
      </w:pPr>
      <w:r>
        <w:rPr>
          <w:b/>
          <w:bCs/>
        </w:rPr>
        <w:t xml:space="preserve">VII. PRUEBA Y DOCUMENTACIÓN QUE DEBE REQUERIRSE</w:t>
      </w:r>
    </w:p>
    <w:p>
      <w:pPr>
        <w:spacing w:after="160" w:line="276"/>
        <w:jc w:val="both"/>
      </w:pPr>
      <w:r>
        <w:t xml:space="preserve">La prueba de los hechos denunciados se encuentra íntegramente en poder de la entidad y de los sistemas de información del Estado, razón por la cual se solicita que sea requerida de oficio:</w:t>
      </w:r>
    </w:p>
    <w:p>
      <w:pPr>
        <w:pStyle w:val="ListParagraph"/>
        <w:numPr>
          <w:ilvl w:val="0"/>
          <w:numId w:val="3"/>
        </w:numPr>
        <w:spacing w:after="160" w:line="276"/>
        <w:jc w:val="both"/>
      </w:pPr>
      <w:r>
        <w:t xml:space="preserve">Expedientes completos de comisiones de viaje y viáticos del Director General Ejecutivo, obrantes en las unidades administrativa, financiera y de recursos humanos de IBMETRO.</w:t>
      </w:r>
    </w:p>
    <w:p>
      <w:pPr>
        <w:pStyle w:val="ListParagraph"/>
        <w:numPr>
          <w:ilvl w:val="0"/>
          <w:numId w:val="3"/>
        </w:numPr>
        <w:spacing w:after="160" w:line="276"/>
        <w:jc w:val="both"/>
      </w:pPr>
      <w:r>
        <w:t xml:space="preserve">Registros de ejecución presupuestaria y de pagos por las partidas de viáticos y pasajes, al interior y exterior del país, correspondientes al despacho de la máxima autoridad ejecutiva.</w:t>
      </w:r>
    </w:p>
    <w:p>
      <w:pPr>
        <w:pStyle w:val="ListParagraph"/>
        <w:numPr>
          <w:ilvl w:val="0"/>
          <w:numId w:val="3"/>
        </w:numPr>
        <w:spacing w:after="160" w:line="276"/>
        <w:jc w:val="both"/>
      </w:pPr>
      <w:r>
        <w:t xml:space="preserve">Registros de asistencia y de permisos o licencias del denunciado.</w:t>
      </w:r>
    </w:p>
    <w:p>
      <w:pPr>
        <w:pStyle w:val="ListParagraph"/>
        <w:numPr>
          <w:ilvl w:val="0"/>
          <w:numId w:val="3"/>
        </w:numPr>
        <w:spacing w:after="160" w:line="276"/>
        <w:jc w:val="both"/>
      </w:pPr>
      <w:r>
        <w:t xml:space="preserve">Bitácoras, hojas de ruta, órdenes de movilización y registros de GPS y combustible de los vehículos institucionales, en los casos en que se los hubiera utilizado.</w:t>
      </w:r>
    </w:p>
    <w:p>
      <w:pPr>
        <w:pStyle w:val="ListParagraph"/>
        <w:numPr>
          <w:ilvl w:val="0"/>
          <w:numId w:val="3"/>
        </w:numPr>
        <w:spacing w:after="160" w:line="276"/>
        <w:jc w:val="both"/>
      </w:pPr>
      <w:r>
        <w:t xml:space="preserve">Correspondencia institucional, invitaciones, convocatorias y agendas que acrediten o desvirtúen la existencia de actividad institucional en los días pagados, en particular los sábados y domingos.</w:t>
      </w:r>
    </w:p>
    <w:p>
      <w:pPr>
        <w:pStyle w:val="ListParagraph"/>
        <w:numPr>
          <w:ilvl w:val="0"/>
          <w:numId w:val="3"/>
        </w:numPr>
        <w:spacing w:after="160" w:line="276"/>
        <w:jc w:val="both"/>
      </w:pPr>
      <w:r>
        <w:t xml:space="preserve">Informes de viaje y sus anexos, y los documentos de aprobación o conformidad de los mismos.</w:t>
      </w:r>
    </w:p>
    <w:p>
      <w:pPr>
        <w:spacing w:after="160" w:line="276"/>
        <w:jc w:val="both"/>
      </w:pPr>
      <w:r>
        <w:t xml:space="preserve">Los hechos se ponen en conocimiento a título de presunción; su acreditación corresponde a la investigación formal, en la que los denunciados podrán ejercer plenamente su derecho a la defensa, conforme al Art. 115 y siguientes de la Constitución Política del Estado.</w:t>
      </w:r>
    </w:p>
    <w:p>
      <w:pPr>
        <w:spacing w:after="160" w:before="280" w:line="276"/>
        <w:jc w:val="left"/>
      </w:pPr>
      <w:r>
        <w:rPr>
          <w:b/>
          <w:bCs/>
        </w:rPr>
        <w:t xml:space="preserve">VIII. PETITORIO</w:t>
      </w:r>
    </w:p>
    <w:p>
      <w:pPr>
        <w:spacing w:after="160" w:line="276"/>
        <w:jc w:val="both"/>
      </w:pPr>
      <w:r>
        <w:t xml:space="preserve">Por lo expuesto, se solicita a su autoridad:</w:t>
      </w:r>
    </w:p>
    <w:p>
      <w:pPr>
        <w:pStyle w:val="ListParagraph"/>
        <w:numPr>
          <w:ilvl w:val="0"/>
          <w:numId w:val="5"/>
        </w:numPr>
        <w:spacing w:after="160" w:line="276"/>
        <w:jc w:val="both"/>
      </w:pPr>
      <w:r>
        <w:t xml:space="preserve">ADMITIR la presente denuncia anónima y DISPONER su remisión inmediata al Viceministerio de Transparencia, Lucha Contra la Corrupción, Integridad Pública y Justicia y a la instancia competente del Ministerio de la Presidencia en materia de transparencia, para investigar la actuación de Santiago Xavier Terceros Pavisich y de los demás servidores públicos que resulten responsables.</w:t>
      </w:r>
    </w:p>
    <w:p>
      <w:pPr>
        <w:pStyle w:val="ListParagraph"/>
        <w:numPr>
          <w:ilvl w:val="0"/>
          <w:numId w:val="5"/>
        </w:numPr>
        <w:spacing w:after="160" w:line="276"/>
        <w:jc w:val="both"/>
      </w:pPr>
      <w:r>
        <w:t xml:space="preserve">DISPONER la investigación a profundidad de la totalidad de los viajes y comisiones oficiales del Director General Ejecutivo de IBMETRO, estableciendo la pertinencia institucional de cada comisión, la correspondencia entre los días autorizados y pagados y las actividades efectivamente realizadas y acreditadas, y la existencia o inexistencia de finalidad pública en los días no laborales comprendidos en dichas comisiones.</w:t>
      </w:r>
    </w:p>
    <w:p>
      <w:pPr>
        <w:pStyle w:val="ListParagraph"/>
        <w:numPr>
          <w:ilvl w:val="0"/>
          <w:numId w:val="5"/>
        </w:numPr>
        <w:spacing w:after="160" w:line="276"/>
        <w:jc w:val="both"/>
      </w:pPr>
      <w:r>
        <w:t xml:space="preserve">REQUERIR a IBMETRO, con carácter urgente, la documentación y los registros detallados en los puntos V y VII de la presente denuncia.</w:t>
      </w:r>
    </w:p>
    <w:p>
      <w:pPr>
        <w:pStyle w:val="ListParagraph"/>
        <w:numPr>
          <w:ilvl w:val="0"/>
          <w:numId w:val="5"/>
        </w:numPr>
        <w:spacing w:after="160" w:line="276"/>
        <w:jc w:val="both"/>
      </w:pPr>
      <w:r>
        <w:t xml:space="preserve">DISPONER o gestionar ante la Contraloría General del Estado una AUDITORÍA ESPECIAL sobre las partidas de viáticos, pasajes y gastos de viaje del despacho de la máxima autoridad ejecutiva de IBMETRO, a efectos de cuantificar el daño económico y establecer las responsabilidades administrativa, ejecutiva y civil emergentes, conforme a la Ley N.º 1178 y al D.S. N.º 23318-A.</w:t>
      </w:r>
    </w:p>
    <w:p>
      <w:pPr>
        <w:pStyle w:val="ListParagraph"/>
        <w:numPr>
          <w:ilvl w:val="0"/>
          <w:numId w:val="5"/>
        </w:numPr>
        <w:spacing w:after="160" w:line="276"/>
        <w:jc w:val="both"/>
      </w:pPr>
      <w:r>
        <w:t xml:space="preserve">DISPONER la preservación inmediata de la documentación física y digital relacionada con las comisiones de viaje (órdenes de comisión, planillas, rendiciones, pasajes, informes de viaje, correos y mensajes institucionales, registros de asistencia, bitácoras y GPS), evitando su pérdida, alteración, sustitución o eliminación.</w:t>
      </w:r>
    </w:p>
    <w:p>
      <w:pPr>
        <w:pStyle w:val="ListParagraph"/>
        <w:numPr>
          <w:ilvl w:val="0"/>
          <w:numId w:val="5"/>
        </w:numPr>
        <w:spacing w:after="160" w:line="276"/>
        <w:jc w:val="both"/>
      </w:pPr>
      <w:r>
        <w:t xml:space="preserve">DISPONER, de establecerse pagos sin causa, la acción de repetición y el cobro de los montos indebidamente percibidos, con los accesorios y actualizaciones que correspondan, por tratarse de deudas por daño económico al Estado, imprescriptibles conforme al Art. 324 de la Constitución Política del Estado.</w:t>
      </w:r>
    </w:p>
    <w:p>
      <w:pPr>
        <w:pStyle w:val="ListParagraph"/>
        <w:numPr>
          <w:ilvl w:val="0"/>
          <w:numId w:val="5"/>
        </w:numPr>
        <w:spacing w:after="160" w:line="276"/>
        <w:jc w:val="both"/>
      </w:pPr>
      <w:r>
        <w:t xml:space="preserve">RECOMENDAR a IBMETRO la adopción de medidas correctivas inmediatas, en particular: que las comisiones de viaje de la máxima autoridad ejecutiva sean autorizadas por la instancia jerárquica superior o por una instancia independiente dentro de la entidad, a fin de eliminar el conflicto de intereses; que las fechas de salida y retorno se ajusten estrictamente a la agenda institucional acreditada; que no se autoricen viáticos por días no laborales sin justificación documentada; y que ningún informe de viaje sea aprobado sin respaldo verificable de las actividades realizadas.</w:t>
      </w:r>
    </w:p>
    <w:p>
      <w:pPr>
        <w:pStyle w:val="ListParagraph"/>
        <w:numPr>
          <w:ilvl w:val="0"/>
          <w:numId w:val="5"/>
        </w:numPr>
        <w:spacing w:after="160" w:line="276"/>
        <w:jc w:val="both"/>
      </w:pPr>
      <w:r>
        <w:t xml:space="preserve">ADOPTAR las medidas de protección que correspondan para los servidores públicos que aporten información o declaren en la investigación, conforme a la Ley N.º 458, considerando la relación de dependencia jerárquica directa que mantienen con el denunciado y el riesgo cierto de represalias.</w:t>
      </w:r>
    </w:p>
    <w:p>
      <w:pPr>
        <w:pStyle w:val="ListParagraph"/>
        <w:numPr>
          <w:ilvl w:val="0"/>
          <w:numId w:val="5"/>
        </w:numPr>
        <w:spacing w:after="160" w:line="276"/>
        <w:jc w:val="both"/>
      </w:pPr>
      <w:r>
        <w:t xml:space="preserve">VALORAR, atendiendo a la naturaleza de los hechos y a la condición de máxima autoridad ejecutiva del denunciado, la pertinencia de disponer su separación temporal del cargo o cualquier otra medida que garantice que no interfiera en la investigación ni en la obtención y conservación de la prueba.</w:t>
      </w:r>
    </w:p>
    <w:p>
      <w:pPr>
        <w:pStyle w:val="ListParagraph"/>
        <w:numPr>
          <w:ilvl w:val="0"/>
          <w:numId w:val="5"/>
        </w:numPr>
        <w:spacing w:after="160" w:line="276"/>
        <w:jc w:val="both"/>
      </w:pPr>
      <w:r>
        <w:t xml:space="preserve">En caso de identificarse elementos de responsabilidad penal, DISPONER LA REMISIÓN DE ANTECEDENTES AL MINISTERIO PÚBLICO, sin perjuicio de las responsabilidades administrativas, civiles o ejecutivas que correspondan.</w:t>
      </w:r>
    </w:p>
    <w:p>
      <w:pPr>
        <w:spacing w:after="0" w:line="276"/>
        <w:jc w:val="both"/>
      </w:pPr>
      <w:r>
        <w:t xml:space="preserve"/>
      </w:r>
    </w:p>
    <w:p>
      <w:pPr>
        <w:spacing w:after="160" w:line="276"/>
        <w:jc w:val="both"/>
      </w:pPr>
      <w:r>
        <w:t xml:space="preserve">Sea la presente denuncia atendida con la urgencia que amerita la posible afectación continuada de recursos públicos.</w:t>
      </w:r>
    </w:p>
    <w:p>
      <w:pPr>
        <w:spacing w:after="0" w:line="276"/>
        <w:jc w:val="both"/>
      </w:pPr>
      <w:r>
        <w:t xml:space="preserve"/>
      </w:r>
    </w:p>
    <w:p>
      <w:pPr>
        <w:spacing w:after="160" w:line="276"/>
        <w:jc w:val="left"/>
      </w:pPr>
      <w:r>
        <w:t xml:space="preserve">La Paz, 9 de octubre de 2026</w:t>
      </w:r>
    </w:p>
    <w:p>
      <w:pPr>
        <w:spacing w:after="0" w:line="276"/>
        <w:jc w:val="both"/>
      </w:pPr>
      <w:r>
        <w:t xml:space="preserve"/>
      </w:r>
    </w:p>
    <w:p>
      <w:pPr>
        <w:spacing w:after="160" w:line="276"/>
        <w:jc w:val="center"/>
      </w:pPr>
      <w:r>
        <w:rPr>
          <w:b/>
          <w:bCs/>
        </w:rPr>
        <w:t xml:space="preserve">DENUNCIA ANÓNIMA</w:t>
      </w:r>
    </w:p>
    <w:sectPr>
      <w:footerReference w:type="default" r:id="rId7"/>
      <w:pgSz w:w="11906" w:h="16838" w:orient="portrait"/>
      <w:pgMar w:top="1417" w:right="1701" w:bottom="1417"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Denuncia por presunto uso indebido de recursos públicos - viajes y viáticos IBMETRO</dc:title>
  <dc:creator>Denuncia anónima</dc:creator>
  <cp:lastModifiedBy>Un-named</cp:lastModifiedBy>
  <cp:revision>1</cp:revision>
  <dcterms:created xsi:type="dcterms:W3CDTF">2026-10-09T14:34:26.397Z</dcterms:created>
  <dcterms:modified xsi:type="dcterms:W3CDTF">2026-10-09T14:34:26.397Z</dcterms:modified>
</cp:coreProperties>
</file>

<file path=docProps/custom.xml><?xml version="1.0" encoding="utf-8"?>
<Properties xmlns="http://schemas.openxmlformats.org/officeDocument/2006/custom-properties" xmlns:vt="http://schemas.openxmlformats.org/officeDocument/2006/docPropsVTypes"/>
</file>