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7D4F8C" w14:textId="6339E44B" w:rsidR="0098587C" w:rsidRDefault="008B2B21">
      <w:pPr>
        <w:rPr>
          <w:rFonts w:cstheme="minorHAnsi"/>
          <w:b/>
          <w:bCs/>
          <w:color w:val="333333"/>
          <w:sz w:val="24"/>
          <w:szCs w:val="24"/>
          <w:shd w:val="clear" w:color="auto" w:fill="FFFFFF"/>
        </w:rPr>
      </w:pPr>
      <w:r>
        <w:fldChar w:fldCharType="begin"/>
      </w:r>
      <w:r>
        <w:instrText>HYPERLINK "https://www.ecfr.gov/current/title-2/section-200.1"</w:instrText>
      </w:r>
      <w:r>
        <w:fldChar w:fldCharType="separate"/>
      </w:r>
      <w:r w:rsidR="003726A1" w:rsidRPr="003726A1">
        <w:rPr>
          <w:rStyle w:val="Hyperlink"/>
          <w:rFonts w:cstheme="minorHAnsi"/>
          <w:b/>
          <w:bCs/>
          <w:sz w:val="24"/>
          <w:szCs w:val="24"/>
          <w:shd w:val="clear" w:color="auto" w:fill="FFFFFF"/>
        </w:rPr>
        <w:t xml:space="preserve">§ </w:t>
      </w:r>
      <w:r w:rsidR="00D07E3F" w:rsidRPr="003726A1">
        <w:rPr>
          <w:rStyle w:val="Hyperlink"/>
          <w:rFonts w:cstheme="minorHAnsi"/>
          <w:b/>
          <w:bCs/>
          <w:sz w:val="24"/>
          <w:szCs w:val="24"/>
          <w:shd w:val="clear" w:color="auto" w:fill="FFFFFF"/>
        </w:rPr>
        <w:t>2 CFR 200.1</w:t>
      </w:r>
      <w:r>
        <w:rPr>
          <w:rStyle w:val="Hyperlink"/>
          <w:rFonts w:cstheme="minorHAnsi"/>
          <w:b/>
          <w:bCs/>
          <w:sz w:val="24"/>
          <w:szCs w:val="24"/>
          <w:shd w:val="clear" w:color="auto" w:fill="FFFFFF"/>
        </w:rPr>
        <w:fldChar w:fldCharType="end"/>
      </w:r>
      <w:r w:rsidR="00D07E3F" w:rsidRPr="00D07E3F">
        <w:rPr>
          <w:rFonts w:cstheme="minorHAnsi"/>
          <w:b/>
          <w:bCs/>
          <w:color w:val="333333"/>
          <w:sz w:val="24"/>
          <w:szCs w:val="24"/>
          <w:shd w:val="clear" w:color="auto" w:fill="FFFFFF"/>
        </w:rPr>
        <w:t xml:space="preserve"> Definitions of Equipment and Supplies</w:t>
      </w:r>
    </w:p>
    <w:p w14:paraId="6DFE39F3" w14:textId="25FA56A3" w:rsidR="00D07E3F" w:rsidRPr="008B2B21" w:rsidRDefault="008B2B21">
      <w:pPr>
        <w:rPr>
          <w:sz w:val="24"/>
          <w:szCs w:val="24"/>
        </w:rPr>
      </w:pPr>
      <w:hyperlink r:id="rId5" w:anchor="p-200.1(Equipment)" w:history="1">
        <w:r w:rsidR="00D07E3F" w:rsidRPr="008B2B21">
          <w:rPr>
            <w:rStyle w:val="Hyperlink"/>
            <w:sz w:val="24"/>
            <w:szCs w:val="24"/>
          </w:rPr>
          <w:t>Equipment</w:t>
        </w:r>
      </w:hyperlink>
      <w:r w:rsidR="00D07E3F" w:rsidRPr="008B2B21">
        <w:rPr>
          <w:sz w:val="24"/>
          <w:szCs w:val="24"/>
        </w:rPr>
        <w:t xml:space="preserve"> means tangible personal property (including information technology systems) having a useful life of more than one year and a per-unit acquisition cost which equals or exceeds the lesser of the capitalization level established by the non-Federal entity for financial statement purposes, or $5,000. See also the definitions of </w:t>
      </w:r>
      <w:r w:rsidR="00D07E3F" w:rsidRPr="008B2B21">
        <w:rPr>
          <w:rStyle w:val="Emphasis"/>
          <w:sz w:val="24"/>
          <w:szCs w:val="24"/>
        </w:rPr>
        <w:t>capital assets, computing devices, general purpose equipment, information technology systems, special purpose equipment,</w:t>
      </w:r>
      <w:r w:rsidR="00D07E3F" w:rsidRPr="008B2B21">
        <w:rPr>
          <w:sz w:val="24"/>
          <w:szCs w:val="24"/>
        </w:rPr>
        <w:t xml:space="preserve"> and </w:t>
      </w:r>
      <w:r w:rsidR="00D07E3F" w:rsidRPr="008B2B21">
        <w:rPr>
          <w:rStyle w:val="Emphasis"/>
          <w:sz w:val="24"/>
          <w:szCs w:val="24"/>
        </w:rPr>
        <w:t>supplies</w:t>
      </w:r>
      <w:r w:rsidR="00D07E3F" w:rsidRPr="008B2B21">
        <w:rPr>
          <w:sz w:val="24"/>
          <w:szCs w:val="24"/>
        </w:rPr>
        <w:t xml:space="preserve"> in this section. </w:t>
      </w:r>
    </w:p>
    <w:p w14:paraId="7BCEB3D8" w14:textId="43D6551D" w:rsidR="003726A1" w:rsidRPr="008B2B21" w:rsidRDefault="008B2B21">
      <w:pPr>
        <w:rPr>
          <w:rFonts w:cstheme="minorHAnsi"/>
          <w:b/>
          <w:bCs/>
          <w:color w:val="333333"/>
          <w:sz w:val="28"/>
          <w:szCs w:val="28"/>
          <w:shd w:val="clear" w:color="auto" w:fill="FFFFFF"/>
        </w:rPr>
      </w:pPr>
      <w:hyperlink r:id="rId6" w:anchor="p-200.1(Supplies)" w:history="1">
        <w:r w:rsidR="003726A1" w:rsidRPr="008B2B21">
          <w:rPr>
            <w:rStyle w:val="Hyperlink"/>
            <w:sz w:val="24"/>
            <w:szCs w:val="24"/>
          </w:rPr>
          <w:t>Supplies</w:t>
        </w:r>
      </w:hyperlink>
      <w:r w:rsidR="003726A1" w:rsidRPr="008B2B21">
        <w:rPr>
          <w:sz w:val="24"/>
          <w:szCs w:val="24"/>
        </w:rPr>
        <w:t xml:space="preserve"> means all tangible personal property other than those described in the definition of </w:t>
      </w:r>
      <w:r w:rsidR="003726A1" w:rsidRPr="008B2B21">
        <w:rPr>
          <w:rStyle w:val="Emphasis"/>
          <w:sz w:val="24"/>
          <w:szCs w:val="24"/>
        </w:rPr>
        <w:t>equipment</w:t>
      </w:r>
      <w:r w:rsidR="003726A1" w:rsidRPr="008B2B21">
        <w:rPr>
          <w:sz w:val="24"/>
          <w:szCs w:val="24"/>
        </w:rPr>
        <w:t xml:space="preserve"> in this section. A computing device is a supply if the acquisition cost is less than the lesser of the capitalization level established by the non-Federal entity for financial statement purposes or $5,000, regardless of the length of its useful life. See also the definitions of </w:t>
      </w:r>
      <w:r w:rsidR="003726A1" w:rsidRPr="008B2B21">
        <w:rPr>
          <w:rStyle w:val="Emphasis"/>
          <w:sz w:val="24"/>
          <w:szCs w:val="24"/>
        </w:rPr>
        <w:t>computing devices</w:t>
      </w:r>
      <w:r w:rsidR="003726A1" w:rsidRPr="008B2B21">
        <w:rPr>
          <w:sz w:val="24"/>
          <w:szCs w:val="24"/>
        </w:rPr>
        <w:t xml:space="preserve"> and </w:t>
      </w:r>
      <w:r w:rsidR="003726A1" w:rsidRPr="008B2B21">
        <w:rPr>
          <w:rStyle w:val="Emphasis"/>
          <w:sz w:val="24"/>
          <w:szCs w:val="24"/>
        </w:rPr>
        <w:t>equipment</w:t>
      </w:r>
      <w:r w:rsidR="003726A1" w:rsidRPr="008B2B21">
        <w:rPr>
          <w:sz w:val="24"/>
          <w:szCs w:val="24"/>
        </w:rPr>
        <w:t xml:space="preserve"> in this section.</w:t>
      </w:r>
    </w:p>
    <w:p w14:paraId="66CAB2D3" w14:textId="77777777" w:rsidR="003726A1" w:rsidRPr="003726A1" w:rsidRDefault="003726A1">
      <w:pPr>
        <w:rPr>
          <w:rFonts w:cstheme="minorHAnsi"/>
          <w:b/>
          <w:bCs/>
          <w:color w:val="333333"/>
          <w:sz w:val="24"/>
          <w:szCs w:val="24"/>
          <w:shd w:val="clear" w:color="auto" w:fill="FFFFFF"/>
        </w:rPr>
      </w:pPr>
    </w:p>
    <w:p w14:paraId="7DE15611" w14:textId="506195DC" w:rsidR="0098587C" w:rsidRPr="0098587C" w:rsidRDefault="0098587C">
      <w:pPr>
        <w:rPr>
          <w:b/>
          <w:bCs/>
          <w:sz w:val="24"/>
          <w:szCs w:val="24"/>
        </w:rPr>
      </w:pPr>
      <w:r w:rsidRPr="0098587C">
        <w:rPr>
          <w:b/>
          <w:bCs/>
          <w:sz w:val="24"/>
          <w:szCs w:val="24"/>
        </w:rPr>
        <w:t xml:space="preserve">Use and Disposition of Equipment/Supplies Purchased with Grant Funds </w:t>
      </w:r>
    </w:p>
    <w:p w14:paraId="19614F18" w14:textId="77777777" w:rsidR="0098587C" w:rsidRPr="0098587C" w:rsidRDefault="0098587C">
      <w:pPr>
        <w:rPr>
          <w:sz w:val="24"/>
          <w:szCs w:val="24"/>
        </w:rPr>
      </w:pPr>
      <w:r w:rsidRPr="0098587C">
        <w:rPr>
          <w:sz w:val="24"/>
          <w:szCs w:val="24"/>
        </w:rPr>
        <w:t xml:space="preserve">Equipment/supplies purchased with state or federal grant funds must be used in the grant project for which it was acquired for as long as the equipment/supplies is needed, </w:t>
      </w:r>
      <w:proofErr w:type="gramStart"/>
      <w:r w:rsidRPr="0098587C">
        <w:rPr>
          <w:sz w:val="24"/>
          <w:szCs w:val="24"/>
        </w:rPr>
        <w:t>whether or not</w:t>
      </w:r>
      <w:proofErr w:type="gramEnd"/>
      <w:r w:rsidRPr="0098587C">
        <w:rPr>
          <w:sz w:val="24"/>
          <w:szCs w:val="24"/>
        </w:rPr>
        <w:t xml:space="preserve"> the grant continues to be funded by state or federal funds. Unless TEA indicates otherwise, once the equipment/supplies is no longer needed, its use may be transferred to support another state- or federally funded grant.  </w:t>
      </w:r>
    </w:p>
    <w:p w14:paraId="12358500" w14:textId="77777777" w:rsidR="0098587C" w:rsidRPr="0098587C" w:rsidRDefault="0098587C">
      <w:pPr>
        <w:rPr>
          <w:sz w:val="24"/>
          <w:szCs w:val="24"/>
        </w:rPr>
      </w:pPr>
      <w:r w:rsidRPr="0098587C">
        <w:rPr>
          <w:sz w:val="24"/>
          <w:szCs w:val="24"/>
        </w:rPr>
        <w:t xml:space="preserve">When equipment or supplies is no longer needed for its original purpose, first preference for use by another program or project must be given to other programs or projects funded by USDE and second preference must be given to programs or projects funded under Federal awards from other Federal awarding agencies. Equipment/supplies may only be used for other local programs or projects if there is no use for the equipment/supplies in other federally funded programs or projects. Use for the original grant should always take priority over other uses. </w:t>
      </w:r>
    </w:p>
    <w:p w14:paraId="3882E346" w14:textId="2A3C176F" w:rsidR="00AA1DE7" w:rsidRPr="0098587C" w:rsidRDefault="0098587C">
      <w:pPr>
        <w:rPr>
          <w:sz w:val="24"/>
          <w:szCs w:val="24"/>
        </w:rPr>
      </w:pPr>
      <w:r w:rsidRPr="0098587C">
        <w:rPr>
          <w:sz w:val="24"/>
          <w:szCs w:val="24"/>
        </w:rPr>
        <w:t>Only the grant funds used to purchase equipment/supplies may be used to pay for repairs to that equipment/supplies. If the equipment/supplies are no longer needed for the original grant, and its use has been transferred to another federal grant as appropriate, repairs may be purchased with funds from the receiving grant. If equipment can no longer be used, it may be disposed of as follows:</w:t>
      </w:r>
    </w:p>
    <w:p w14:paraId="66AFC38A" w14:textId="54CDD52C" w:rsidR="0098587C" w:rsidRPr="0098587C" w:rsidRDefault="0098587C" w:rsidP="0098587C">
      <w:pPr>
        <w:pStyle w:val="ListParagraph"/>
        <w:numPr>
          <w:ilvl w:val="0"/>
          <w:numId w:val="1"/>
        </w:numPr>
        <w:rPr>
          <w:sz w:val="24"/>
          <w:szCs w:val="24"/>
        </w:rPr>
      </w:pPr>
      <w:r w:rsidRPr="0098587C">
        <w:rPr>
          <w:sz w:val="24"/>
          <w:szCs w:val="24"/>
        </w:rPr>
        <w:t xml:space="preserve">Items of equipment with a current per-unit fair market value of $5,000 or less may be retained, sold, or otherwise disposed of with no further obligation to TEA. </w:t>
      </w:r>
    </w:p>
    <w:p w14:paraId="37D1E549" w14:textId="0D6494DE" w:rsidR="0098587C" w:rsidRPr="0098587C" w:rsidRDefault="0098587C" w:rsidP="0098587C">
      <w:pPr>
        <w:pStyle w:val="ListParagraph"/>
        <w:numPr>
          <w:ilvl w:val="0"/>
          <w:numId w:val="1"/>
        </w:numPr>
        <w:rPr>
          <w:sz w:val="24"/>
          <w:szCs w:val="24"/>
        </w:rPr>
      </w:pPr>
      <w:r w:rsidRPr="0098587C">
        <w:rPr>
          <w:sz w:val="24"/>
          <w:szCs w:val="24"/>
        </w:rPr>
        <w:t xml:space="preserve">After receiving written authorization from TEA, items of equipment with a current per-unit fair market value </w:t>
      </w:r>
      <w:proofErr w:type="gramStart"/>
      <w:r w:rsidRPr="0098587C">
        <w:rPr>
          <w:sz w:val="24"/>
          <w:szCs w:val="24"/>
        </w:rPr>
        <w:t>in excess of</w:t>
      </w:r>
      <w:proofErr w:type="gramEnd"/>
      <w:r w:rsidRPr="0098587C">
        <w:rPr>
          <w:sz w:val="24"/>
          <w:szCs w:val="24"/>
        </w:rPr>
        <w:t xml:space="preserve"> $5,000 may be retained or sold. The grant must be credited, and a refund must be submitted to TEA for the fair market value of the equipment. The refund will then be returned by TEA to federal government.</w:t>
      </w:r>
    </w:p>
    <w:p w14:paraId="3E65C754" w14:textId="77777777" w:rsidR="0098587C" w:rsidRPr="0098587C" w:rsidRDefault="0098587C" w:rsidP="0098587C">
      <w:pPr>
        <w:rPr>
          <w:sz w:val="24"/>
          <w:szCs w:val="24"/>
        </w:rPr>
      </w:pPr>
      <w:r w:rsidRPr="0098587C">
        <w:rPr>
          <w:sz w:val="24"/>
          <w:szCs w:val="24"/>
        </w:rPr>
        <w:lastRenderedPageBreak/>
        <w:t xml:space="preserve">Reasons for removal may include that the equipment/supplies are no longer operable, were destroyed, were stolen, or are no longer needed. </w:t>
      </w:r>
    </w:p>
    <w:p w14:paraId="55C0C433" w14:textId="77777777" w:rsidR="0098587C" w:rsidRPr="0098587C" w:rsidRDefault="0098587C" w:rsidP="0098587C">
      <w:pPr>
        <w:rPr>
          <w:sz w:val="24"/>
          <w:szCs w:val="24"/>
        </w:rPr>
      </w:pPr>
      <w:r w:rsidRPr="0098587C">
        <w:rPr>
          <w:sz w:val="24"/>
          <w:szCs w:val="24"/>
        </w:rPr>
        <w:t xml:space="preserve">For supplies, if there is a residual inventory of unused supplies exceeding $5,000 in total aggregate value upon termination or completion of the project or program and the supplies are not needed for any other federal award, the subgrantee must retain the supplies for use on other activities or sell them, but must, in either case, compensate the USDE for its share. </w:t>
      </w:r>
    </w:p>
    <w:p w14:paraId="4EB10E5A" w14:textId="619CC1B9" w:rsidR="0098587C" w:rsidRPr="0098587C" w:rsidRDefault="0098587C" w:rsidP="0098587C">
      <w:pPr>
        <w:rPr>
          <w:sz w:val="24"/>
          <w:szCs w:val="24"/>
        </w:rPr>
      </w:pPr>
      <w:r w:rsidRPr="0098587C">
        <w:rPr>
          <w:sz w:val="24"/>
          <w:szCs w:val="24"/>
        </w:rPr>
        <w:t xml:space="preserve">If the subgrantee purchases capital outlay (furniture or equipment) to accomplish the objectives of the grant project, the title will remain with the subgrantee organization throughout the grant period. TEA reserves the right to transfer capital outlay items during the grant period or as needed after the ending date of the grant from subgrantees that fail to comply with grant requirements. This provision applies to any furniture or equipment regardless of unit price and item classification in the subgrantee’s accounting records.  </w:t>
      </w:r>
    </w:p>
    <w:p w14:paraId="6108E6E2" w14:textId="2CB4C0E8" w:rsidR="0098587C" w:rsidRPr="0098587C" w:rsidRDefault="008B2B21" w:rsidP="0098587C">
      <w:pPr>
        <w:rPr>
          <w:sz w:val="24"/>
          <w:szCs w:val="24"/>
        </w:rPr>
      </w:pPr>
      <w:r w:rsidRPr="008B2B21">
        <w:rPr>
          <w:sz w:val="24"/>
          <w:szCs w:val="24"/>
        </w:rPr>
        <w:t xml:space="preserve">The completed disposition form must be submitted for approval by TEA prior to the actual disposition of the equipment/supplies. </w:t>
      </w:r>
      <w:r w:rsidR="0098587C" w:rsidRPr="0098587C">
        <w:rPr>
          <w:sz w:val="24"/>
          <w:szCs w:val="24"/>
        </w:rPr>
        <w:t xml:space="preserve">You will complete these federally required forms in the </w:t>
      </w:r>
      <w:hyperlink r:id="rId7" w:history="1">
        <w:r w:rsidR="0098587C" w:rsidRPr="00DA72D6">
          <w:rPr>
            <w:rStyle w:val="Hyperlink"/>
            <w:sz w:val="24"/>
            <w:szCs w:val="24"/>
          </w:rPr>
          <w:t>EDGAR Connect WorkApp</w:t>
        </w:r>
      </w:hyperlink>
      <w:r w:rsidR="0098587C" w:rsidRPr="0098587C">
        <w:rPr>
          <w:sz w:val="24"/>
          <w:szCs w:val="24"/>
        </w:rPr>
        <w:t xml:space="preserve">. </w:t>
      </w:r>
      <w:r w:rsidR="00D07E3F">
        <w:rPr>
          <w:sz w:val="24"/>
          <w:szCs w:val="24"/>
        </w:rPr>
        <w:t>If you have any questions regarding this process,</w:t>
      </w:r>
      <w:r w:rsidR="0098587C" w:rsidRPr="0098587C">
        <w:rPr>
          <w:sz w:val="24"/>
          <w:szCs w:val="24"/>
        </w:rPr>
        <w:t xml:space="preserve"> please contact Nick Davis (</w:t>
      </w:r>
      <w:hyperlink r:id="rId8" w:history="1">
        <w:r w:rsidR="0098587C" w:rsidRPr="0098587C">
          <w:rPr>
            <w:rStyle w:val="Hyperlink"/>
            <w:sz w:val="24"/>
            <w:szCs w:val="24"/>
          </w:rPr>
          <w:t>nick.davis@tea.texas.gov</w:t>
        </w:r>
      </w:hyperlink>
      <w:r w:rsidR="0098587C" w:rsidRPr="0098587C">
        <w:rPr>
          <w:sz w:val="24"/>
          <w:szCs w:val="24"/>
        </w:rPr>
        <w:t xml:space="preserve">). </w:t>
      </w:r>
    </w:p>
    <w:sectPr w:rsidR="0098587C" w:rsidRPr="0098587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EE1651"/>
    <w:multiLevelType w:val="hybridMultilevel"/>
    <w:tmpl w:val="38BE3C24"/>
    <w:lvl w:ilvl="0" w:tplc="2DE62CC8">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466171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587C"/>
    <w:rsid w:val="003726A1"/>
    <w:rsid w:val="008B2B21"/>
    <w:rsid w:val="0098587C"/>
    <w:rsid w:val="00AA1DE7"/>
    <w:rsid w:val="00D07E3F"/>
    <w:rsid w:val="00DA72D6"/>
    <w:rsid w:val="00F620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FF6870"/>
  <w15:chartTrackingRefBased/>
  <w15:docId w15:val="{6A57A48B-2BFB-497C-BDD6-098CCCDA61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8587C"/>
    <w:pPr>
      <w:ind w:left="720"/>
      <w:contextualSpacing/>
    </w:pPr>
  </w:style>
  <w:style w:type="character" w:styleId="Hyperlink">
    <w:name w:val="Hyperlink"/>
    <w:basedOn w:val="DefaultParagraphFont"/>
    <w:uiPriority w:val="99"/>
    <w:unhideWhenUsed/>
    <w:rsid w:val="0098587C"/>
    <w:rPr>
      <w:color w:val="0563C1" w:themeColor="hyperlink"/>
      <w:u w:val="single"/>
    </w:rPr>
  </w:style>
  <w:style w:type="character" w:styleId="UnresolvedMention">
    <w:name w:val="Unresolved Mention"/>
    <w:basedOn w:val="DefaultParagraphFont"/>
    <w:uiPriority w:val="99"/>
    <w:semiHidden/>
    <w:unhideWhenUsed/>
    <w:rsid w:val="0098587C"/>
    <w:rPr>
      <w:color w:val="605E5C"/>
      <w:shd w:val="clear" w:color="auto" w:fill="E1DFDD"/>
    </w:rPr>
  </w:style>
  <w:style w:type="character" w:styleId="Emphasis">
    <w:name w:val="Emphasis"/>
    <w:basedOn w:val="DefaultParagraphFont"/>
    <w:uiPriority w:val="20"/>
    <w:qFormat/>
    <w:rsid w:val="00D07E3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8369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ck.davis@tea.texas.gov" TargetMode="External"/><Relationship Id="rId13"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hyperlink" Target="https://workapps.smartsheet.com/app/PV3M9RP4vpVhGfqXm9Cwc9qGR3/7QRHJfFGf34Gq" TargetMode="External"/><Relationship Id="rId12" Type="http://schemas.openxmlformats.org/officeDocument/2006/relationships/customXml" Target="../customXml/item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ecfr.gov/current/title-2/part-200/section-200.1" TargetMode="External"/><Relationship Id="rId11" Type="http://schemas.openxmlformats.org/officeDocument/2006/relationships/customXml" Target="../customXml/item1.xml"/><Relationship Id="rId5" Type="http://schemas.openxmlformats.org/officeDocument/2006/relationships/hyperlink" Target="https://www.ecfr.gov/current/title-2/part-200/section-200.1"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458C2A9F2038C4C98F82CECC983C15E" ma:contentTypeVersion="18" ma:contentTypeDescription="Create a new document." ma:contentTypeScope="" ma:versionID="fa1a69853cdce7f93f3737c5e107bce9">
  <xsd:schema xmlns:xsd="http://www.w3.org/2001/XMLSchema" xmlns:xs="http://www.w3.org/2001/XMLSchema" xmlns:p="http://schemas.microsoft.com/office/2006/metadata/properties" xmlns:ns2="0ebc5d4e-e350-4978-8d84-26770e8d7699" xmlns:ns3="59bf5697-360c-471a-ba70-fde6eb632ac9" targetNamespace="http://schemas.microsoft.com/office/2006/metadata/properties" ma:root="true" ma:fieldsID="9519ad0b29f812ffc502b5e609550e6a" ns2:_="" ns3:_="">
    <xsd:import namespace="0ebc5d4e-e350-4978-8d84-26770e8d7699"/>
    <xsd:import namespace="59bf5697-360c-471a-ba70-fde6eb632ac9"/>
    <xsd:element name="properties">
      <xsd:complexType>
        <xsd:sequence>
          <xsd:element name="documentManagement">
            <xsd:complexType>
              <xsd:all>
                <xsd:element ref="ns2:MediaServiceMetadata" minOccurs="0"/>
                <xsd:element ref="ns2:MediaServiceFastMetadata" minOccurs="0"/>
                <xsd:element ref="ns2:MediaServiceDateTaken" minOccurs="0"/>
                <xsd:element ref="ns3:SharedWithUsers" minOccurs="0"/>
                <xsd:element ref="ns3:SharedWithDetails" minOccurs="0"/>
                <xsd:element ref="ns2:MediaServiceAutoKeyPoints" minOccurs="0"/>
                <xsd:element ref="ns2:MediaServiceKeyPoints" minOccurs="0"/>
                <xsd:element ref="ns2:MediaLengthInSeconds" minOccurs="0"/>
                <xsd:element ref="ns2:MediaServiceAutoTags" minOccurs="0"/>
                <xsd:element ref="ns2:MediaServiceObjectDetectorVersions"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ebc5d4e-e350-4978-8d84-26770e8d76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LengthInSeconds" ma:index="15" nillable="true" ma:displayName="Length (seconds)" ma:internalName="MediaLengthInSeconds" ma:readOnly="true">
      <xsd:simpleType>
        <xsd:restriction base="dms:Unknown"/>
      </xsd:simpleType>
    </xsd:element>
    <xsd:element name="MediaServiceAutoTags" ma:index="16" nillable="true" ma:displayName="Tags" ma:internalName="MediaServiceAutoTags"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b7a77b5-e59d-49f3-97a2-3dde868dbe2d" ma:termSetId="09814cd3-568e-fe90-9814-8d621ff8fb84" ma:anchorId="fba54fb3-c3e1-fe81-a776-ca4b69148c4d" ma:open="true" ma:isKeyword="false">
      <xsd:complexType>
        <xsd:sequence>
          <xsd:element ref="pc:Terms" minOccurs="0" maxOccurs="1"/>
        </xsd:sequence>
      </xsd:complexType>
    </xsd:element>
    <xsd:element name="MediaServiceLocation" ma:index="21" nillable="true" ma:displayName="Location" ma:indexed="true" ma:internalName="MediaServiceLocation" ma:readOnly="true">
      <xsd:simpleType>
        <xsd:restriction base="dms:Text"/>
      </xsd:simpleType>
    </xsd:element>
    <xsd:element name="MediaServiceOCR" ma:index="22" nillable="true" ma:displayName="Extracted Text" ma:internalName="MediaServiceOCR" ma:readOnly="true">
      <xsd:simpleType>
        <xsd:restriction base="dms:Note">
          <xsd:maxLength value="255"/>
        </xsd:restriction>
      </xsd:simpleType>
    </xsd:element>
    <xsd:element name="MediaServiceGenerationTime" ma:index="23" nillable="true" ma:displayName="MediaServiceGenerationTime" ma:hidden="true" ma:internalName="MediaServiceGenerationTime" ma:readOnly="true">
      <xsd:simpleType>
        <xsd:restriction base="dms:Text"/>
      </xsd:simpleType>
    </xsd:element>
    <xsd:element name="MediaServiceEventHashCode" ma:index="24" nillable="true" ma:displayName="MediaServiceEventHashCode" ma:hidden="true" ma:internalName="MediaServiceEventHashCode"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59bf5697-360c-471a-ba70-fde6eb632ac9"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8b1b1a96-1cc4-40c7-953e-0e40fadba251}" ma:internalName="TaxCatchAll" ma:showField="CatchAllData" ma:web="59bf5697-360c-471a-ba70-fde6eb632ac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ebc5d4e-e350-4978-8d84-26770e8d7699">
      <Terms xmlns="http://schemas.microsoft.com/office/infopath/2007/PartnerControls"/>
    </lcf76f155ced4ddcb4097134ff3c332f>
    <TaxCatchAll xmlns="59bf5697-360c-471a-ba70-fde6eb632ac9" xsi:nil="true"/>
  </documentManagement>
</p:properties>
</file>

<file path=customXml/itemProps1.xml><?xml version="1.0" encoding="utf-8"?>
<ds:datastoreItem xmlns:ds="http://schemas.openxmlformats.org/officeDocument/2006/customXml" ds:itemID="{C5A292EC-941C-42B5-9EE6-5975B188C5E4}"/>
</file>

<file path=customXml/itemProps2.xml><?xml version="1.0" encoding="utf-8"?>
<ds:datastoreItem xmlns:ds="http://schemas.openxmlformats.org/officeDocument/2006/customXml" ds:itemID="{D5E4A887-9A0D-4F39-9DF0-58E0488BA027}"/>
</file>

<file path=customXml/itemProps3.xml><?xml version="1.0" encoding="utf-8"?>
<ds:datastoreItem xmlns:ds="http://schemas.openxmlformats.org/officeDocument/2006/customXml" ds:itemID="{5C6439CB-4794-4FBF-882B-39D13651BAAD}"/>
</file>

<file path=docProps/app.xml><?xml version="1.0" encoding="utf-8"?>
<Properties xmlns="http://schemas.openxmlformats.org/officeDocument/2006/extended-properties" xmlns:vt="http://schemas.openxmlformats.org/officeDocument/2006/docPropsVTypes">
  <Template>Normal</Template>
  <TotalTime>9</TotalTime>
  <Pages>2</Pages>
  <Words>693</Words>
  <Characters>3955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3</cp:revision>
  <dcterms:created xsi:type="dcterms:W3CDTF">2024-03-08T15:28:00Z</dcterms:created>
  <dcterms:modified xsi:type="dcterms:W3CDTF">2024-03-08T15:40:00Z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0x0101008458C2A9F2038C4C98F82CECC983C15E</vt:lpwstr>
  </property>
</Properties>
</file>