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824C" w14:textId="6AE192A1" w:rsidR="00B536E6" w:rsidRPr="00AC1852" w:rsidRDefault="00EC2F82" w:rsidP="00A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3553099"/>
      <w:bookmarkEnd w:id="0"/>
      <w:r w:rsidRPr="00AC1852">
        <w:rPr>
          <w:rFonts w:ascii="Times New Roman" w:hAnsi="Times New Roman" w:cs="Times New Roman"/>
          <w:sz w:val="24"/>
          <w:szCs w:val="24"/>
        </w:rPr>
        <w:t xml:space="preserve">No ano de 2020, o governo central registrou </w:t>
      </w:r>
      <w:hyperlink r:id="rId7" w:history="1">
        <w:r w:rsidRPr="00B60B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déficit </w:t>
        </w:r>
        <w:r w:rsidR="00B60B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primário </w:t>
        </w:r>
        <w:r w:rsidRPr="00B60B69">
          <w:rPr>
            <w:rStyle w:val="Hyperlink"/>
            <w:rFonts w:ascii="Times New Roman" w:hAnsi="Times New Roman" w:cs="Times New Roman"/>
            <w:sz w:val="24"/>
            <w:szCs w:val="24"/>
          </w:rPr>
          <w:t>equivalente a 10,1% do PIB (R$74</w:t>
        </w:r>
        <w:r w:rsidR="00B60B69" w:rsidRPr="00B60B69">
          <w:rPr>
            <w:rStyle w:val="Hyperlink"/>
            <w:rFonts w:ascii="Times New Roman" w:hAnsi="Times New Roman" w:cs="Times New Roman"/>
            <w:sz w:val="24"/>
            <w:szCs w:val="24"/>
          </w:rPr>
          <w:t>3,1</w:t>
        </w:r>
        <w:r w:rsidRPr="00B60B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bilhões).</w:t>
        </w:r>
      </w:hyperlink>
      <w:r w:rsidRPr="00AC1852">
        <w:rPr>
          <w:rFonts w:ascii="Times New Roman" w:hAnsi="Times New Roman" w:cs="Times New Roman"/>
          <w:sz w:val="24"/>
          <w:szCs w:val="24"/>
        </w:rPr>
        <w:t xml:space="preserve"> Um dos principais fatores que acarretaram no pior resultado da série histórica foi a contração da atividade econômica, em decorrência das medidas de isolamento social por conta da pandemia do novo coronavírus. Com a contração da atividade, observa-se que também houve uma queda na arrecadação de tributos pelo governo, como por exemplo, redução a zero da alíquota do IOF sobre operações de crédito, o que por sua vez também explica a piora na trajetória do déficit primário.</w:t>
      </w:r>
    </w:p>
    <w:p w14:paraId="5E4984A4" w14:textId="457273D9" w:rsidR="006F0D8A" w:rsidRPr="00AC1852" w:rsidRDefault="006F0D8A" w:rsidP="00A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337BA" w14:textId="47E6FB07" w:rsidR="006F0D8A" w:rsidRPr="00AC1852" w:rsidRDefault="00434FBF" w:rsidP="00A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DC3FD" wp14:editId="6C77B851">
            <wp:extent cx="5400040" cy="3332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D603" w14:textId="3605418D" w:rsidR="00434FBF" w:rsidRPr="00AC1852" w:rsidRDefault="00434FBF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color w:val="000000"/>
          <w:sz w:val="24"/>
          <w:szCs w:val="24"/>
        </w:rPr>
        <w:t>Além do enfraquecimento da atividade econômica, outro fator que contribuiu para o aumento da dívida pública em 2021, foram os dispêndios com a pandemia. Somente a despesa com créditos extraordinários (desconsiderando PAC), cresceu R$</w:t>
      </w:r>
      <w:r w:rsidR="00B27FA9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>393,2 bilhões frente aos primeiros onze meses de 2019. Es</w:t>
      </w:r>
      <w:r w:rsidR="00D976EB" w:rsidRPr="00AC1852">
        <w:rPr>
          <w:rFonts w:ascii="Times New Roman" w:hAnsi="Times New Roman" w:cs="Times New Roman"/>
          <w:color w:val="000000"/>
          <w:sz w:val="24"/>
          <w:szCs w:val="24"/>
        </w:rPr>
        <w:t>te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incremento no gasto</w:t>
      </w:r>
      <w:r w:rsidR="00D976EB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público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decorreu de medidas como o auxílio emergencial a pessoas em situação de vulnerabilidade (R$ 275,8 bilhões); despesas adicionais do Ministério da Saúde e demais ministérios (R$ 40,5 bilhões) e Benefício Emergencial de Manutenção do Emprego e da Renda (R$ 31,3 bilhões). Entre os países da América Latina, o Brasil foi um dos </w:t>
      </w:r>
      <w:r w:rsidRPr="00AC185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players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que mais gastou com a pandemia em 2020.</w:t>
      </w:r>
    </w:p>
    <w:p w14:paraId="7A2523B2" w14:textId="7DD767E9" w:rsidR="00434FBF" w:rsidRPr="00AC1852" w:rsidRDefault="00434FBF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51B801" w14:textId="4B9C0F55" w:rsidR="005D5E7D" w:rsidRPr="005D5E7D" w:rsidRDefault="00434FBF" w:rsidP="00A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8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7DB60D" wp14:editId="39F74F60">
            <wp:extent cx="5400040" cy="33324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E310" w14:textId="7B39D21A" w:rsidR="00434FBF" w:rsidRPr="00AC1852" w:rsidRDefault="005D5E7D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EE33549" wp14:editId="265426AA">
            <wp:simplePos x="0" y="0"/>
            <wp:positionH relativeFrom="margin">
              <wp:align>right</wp:align>
            </wp:positionH>
            <wp:positionV relativeFrom="paragraph">
              <wp:posOffset>1835150</wp:posOffset>
            </wp:positionV>
            <wp:extent cx="5400040" cy="3515360"/>
            <wp:effectExtent l="0" t="0" r="0" b="8890"/>
            <wp:wrapThrough wrapText="bothSides">
              <wp:wrapPolygon edited="0">
                <wp:start x="0" y="0"/>
                <wp:lineTo x="0" y="21538"/>
                <wp:lineTo x="21488" y="21538"/>
                <wp:lineTo x="21488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A dívida pública está </w:t>
      </w:r>
      <w:r w:rsidR="00C71D59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crescendo 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ao redor do mundo, </w:t>
      </w:r>
      <w:r w:rsidR="00D976EB" w:rsidRPr="00AC1852">
        <w:rPr>
          <w:rFonts w:ascii="Times New Roman" w:hAnsi="Times New Roman" w:cs="Times New Roman"/>
          <w:color w:val="000000"/>
          <w:sz w:val="24"/>
          <w:szCs w:val="24"/>
        </w:rPr>
        <w:t>porém há disparidade no nível de dívida que os países apresentam, mesmo dentro de um grupo de países similares, como é o caso dos nossos exemplos, podemos notar grandes diferenças. Isto implica em mudanças em como cada país enfrentará seus problemas após a pandemia. De modo geral, quanto maior a relação dívida PIB, menor é o espaço fiscal</w:t>
      </w:r>
      <w:r w:rsidR="004E62F5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futuro, portanto, o cenário futuro para Brasil e Argentina se mostra preocupante.</w:t>
      </w:r>
    </w:p>
    <w:p w14:paraId="32FDB153" w14:textId="4350EECE" w:rsidR="005B2B2D" w:rsidRPr="00AC1852" w:rsidRDefault="005B2B2D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color w:val="000000"/>
          <w:sz w:val="24"/>
          <w:szCs w:val="24"/>
        </w:rPr>
        <w:lastRenderedPageBreak/>
        <w:t>Ainda que a</w:t>
      </w:r>
      <w:r w:rsidRPr="00AC18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dívida/PIB no Chile tenha crescido em 2020, ainda é cerca de um terço da nossa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. Analisando os dados de endividamento globais, é perceptível que a média brasileira se aproxima muito mais das médias dos países desenvolvidos que tiveram projetados em média dívida de 122,5% do PIB para 2022. No entanto, sabe-se que países desenvolvidos conseguem financiar altos níveis de dívida com mais facilidade e, por isso, já </w:t>
      </w:r>
      <w:r w:rsidR="00AC1852" w:rsidRPr="00AC1852">
        <w:rPr>
          <w:rFonts w:ascii="Times New Roman" w:hAnsi="Times New Roman" w:cs="Times New Roman"/>
          <w:color w:val="000000"/>
          <w:sz w:val="24"/>
          <w:szCs w:val="24"/>
        </w:rPr>
        <w:t>possuíam grande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endividamento público</w:t>
      </w:r>
      <w:r w:rsidR="00AC18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1852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antes da </w:t>
      </w:r>
      <w:r w:rsidR="009C5B1A" w:rsidRPr="00AC1852">
        <w:rPr>
          <w:rFonts w:ascii="Times New Roman" w:hAnsi="Times New Roman" w:cs="Times New Roman"/>
          <w:color w:val="000000"/>
          <w:sz w:val="24"/>
          <w:szCs w:val="24"/>
        </w:rPr>
        <w:t>pandemia, caso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dos Estados Unidos, Itália, Reino Unido etc.</w:t>
      </w:r>
    </w:p>
    <w:p w14:paraId="17016C5D" w14:textId="7AC77973" w:rsidR="005B2B2D" w:rsidRPr="00AC1852" w:rsidRDefault="005B2B2D" w:rsidP="00AC185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C1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5BBE5" wp14:editId="62928E22">
            <wp:extent cx="5400040" cy="33045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E835" w14:textId="7F4034BD" w:rsidR="00D976EB" w:rsidRPr="00AC1852" w:rsidRDefault="00D976EB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7554D02" w14:textId="0F56F61D" w:rsidR="00434FBF" w:rsidRPr="00AC1852" w:rsidRDefault="009C5B1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Custo da dívida</w:t>
      </w:r>
    </w:p>
    <w:p w14:paraId="503E38C1" w14:textId="5650015A" w:rsidR="00986F69" w:rsidRDefault="004E62F5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color w:val="000000"/>
          <w:sz w:val="24"/>
          <w:szCs w:val="24"/>
        </w:rPr>
        <w:t>Em 2021,</w:t>
      </w:r>
      <w:r w:rsidRPr="00AC18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>Brasil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continuará lutando para conter a pandemia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principalmente pelo atraso na vacinação, e com 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>isso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uma forte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retomada da atividade econômica 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>continua</w:t>
      </w:r>
      <w:r w:rsidR="00AC1852">
        <w:rPr>
          <w:rFonts w:ascii="Times New Roman" w:hAnsi="Times New Roman" w:cs="Times New Roman"/>
          <w:color w:val="000000"/>
          <w:sz w:val="24"/>
          <w:szCs w:val="24"/>
        </w:rPr>
        <w:t xml:space="preserve"> sendo um cenário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1852" w:rsidRPr="00AC1852">
        <w:rPr>
          <w:rFonts w:ascii="Times New Roman" w:hAnsi="Times New Roman" w:cs="Times New Roman"/>
          <w:color w:val="000000"/>
          <w:sz w:val="24"/>
          <w:szCs w:val="24"/>
        </w:rPr>
        <w:t>distant</w:t>
      </w:r>
      <w:r w:rsidR="00AC1852"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</w:p>
    <w:p w14:paraId="66C4F4AE" w14:textId="5F6B2167" w:rsidR="00986F69" w:rsidRDefault="00986F69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4224B8" w14:textId="5490F96E" w:rsidR="00986F69" w:rsidRDefault="00986F69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06ECBA" w14:textId="682D4B8A" w:rsidR="00986F69" w:rsidRDefault="00986F69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839BA" w14:textId="10C7A650" w:rsidR="00986F69" w:rsidRDefault="00986F69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D655029" w14:textId="77777777" w:rsidR="00986F69" w:rsidRDefault="00986F69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D5946A" w14:textId="63CA3145" w:rsidR="00986F69" w:rsidRDefault="00986F69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B81AD47" wp14:editId="65E34C2B">
            <wp:simplePos x="0" y="0"/>
            <wp:positionH relativeFrom="margin">
              <wp:posOffset>-1144</wp:posOffset>
            </wp:positionH>
            <wp:positionV relativeFrom="paragraph">
              <wp:posOffset>105</wp:posOffset>
            </wp:positionV>
            <wp:extent cx="5400040" cy="3515360"/>
            <wp:effectExtent l="0" t="0" r="0" b="889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DE3EDB" w14:textId="0C27DA75" w:rsidR="009C5B1A" w:rsidRDefault="00986F69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8566FD" wp14:editId="65653952">
            <wp:simplePos x="0" y="0"/>
            <wp:positionH relativeFrom="margin">
              <wp:align>left</wp:align>
            </wp:positionH>
            <wp:positionV relativeFrom="paragraph">
              <wp:posOffset>938523</wp:posOffset>
            </wp:positionV>
            <wp:extent cx="5400040" cy="3332480"/>
            <wp:effectExtent l="0" t="0" r="0" b="1270"/>
            <wp:wrapThrough wrapText="bothSides">
              <wp:wrapPolygon edited="0">
                <wp:start x="0" y="0"/>
                <wp:lineTo x="0" y="21485"/>
                <wp:lineTo x="21488" y="21485"/>
                <wp:lineTo x="21488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1852">
        <w:rPr>
          <w:rFonts w:ascii="Times New Roman" w:hAnsi="Times New Roman" w:cs="Times New Roman"/>
          <w:color w:val="000000"/>
          <w:sz w:val="24"/>
          <w:szCs w:val="24"/>
        </w:rPr>
        <w:t>Além disso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>, reformas</w:t>
      </w:r>
      <w:r w:rsidR="004E62F5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importantes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62F5" w:rsidRPr="00AC1852">
        <w:rPr>
          <w:rFonts w:ascii="Times New Roman" w:hAnsi="Times New Roman" w:cs="Times New Roman"/>
          <w:color w:val="000000"/>
          <w:sz w:val="24"/>
          <w:szCs w:val="24"/>
        </w:rPr>
        <w:t>para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maior estabilidade fiscal e econômica, como a administrativa e a tributária</w:t>
      </w:r>
      <w:r w:rsidR="004E62F5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devem ser adiadas para depois 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eleições presidenciais de 2022, o que traz uma maior instabilidade e incerteza fiscal do futuro do país. </w:t>
      </w:r>
      <w:r w:rsidR="004E62F5" w:rsidRPr="00AC1852">
        <w:rPr>
          <w:rFonts w:ascii="Times New Roman" w:hAnsi="Times New Roman" w:cs="Times New Roman"/>
          <w:color w:val="000000"/>
          <w:sz w:val="24"/>
          <w:szCs w:val="24"/>
        </w:rPr>
        <w:t>Por conta de tudo isso, a previsão do Instituto Fiscal Independente (IFI) é de que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a taxa SELIC </w:t>
      </w:r>
      <w:r w:rsidR="004E62F5" w:rsidRPr="00AC1852">
        <w:rPr>
          <w:rFonts w:ascii="Times New Roman" w:hAnsi="Times New Roman" w:cs="Times New Roman"/>
          <w:color w:val="000000"/>
          <w:sz w:val="24"/>
          <w:szCs w:val="24"/>
        </w:rPr>
        <w:t>continue crescendo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por um bom tempo, </w:t>
      </w:r>
      <w:r w:rsidR="004E62F5" w:rsidRPr="00AC1852">
        <w:rPr>
          <w:rFonts w:ascii="Times New Roman" w:hAnsi="Times New Roman" w:cs="Times New Roman"/>
          <w:color w:val="000000"/>
          <w:sz w:val="24"/>
          <w:szCs w:val="24"/>
        </w:rPr>
        <w:t>o que impacta diretamente nos resultados fiscais do governo federal.</w:t>
      </w:r>
    </w:p>
    <w:p w14:paraId="79408B6B" w14:textId="0D0187A4" w:rsidR="009C5B1A" w:rsidRPr="009C5B1A" w:rsidRDefault="009C5B1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5B1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Projeção da Arrecadação</w:t>
      </w:r>
    </w:p>
    <w:p w14:paraId="03743AD0" w14:textId="0498E19F" w:rsidR="00434FBF" w:rsidRDefault="009C5B1A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9C5B1A">
        <w:rPr>
          <w:rFonts w:ascii="Times New Roman" w:hAnsi="Times New Roman" w:cs="Times New Roman"/>
          <w:color w:val="000000"/>
          <w:sz w:val="24"/>
          <w:szCs w:val="24"/>
        </w:rPr>
        <w:t xml:space="preserve"> IFI traça três prováveis cenários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arrecadação. N</w:t>
      </w:r>
      <w:r w:rsidRPr="00AC1852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cenário base, a arrecadação tende a crescer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no mesmo ritmo dos gastos públicos. 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No cenário otimista, a arrecadação nacional cresce percentualmente mais que os gastos previstos, assim, </w:t>
      </w:r>
      <w:r w:rsidR="00AC1852">
        <w:rPr>
          <w:rFonts w:ascii="Times New Roman" w:hAnsi="Times New Roman" w:cs="Times New Roman"/>
          <w:color w:val="000000"/>
          <w:sz w:val="24"/>
          <w:szCs w:val="24"/>
        </w:rPr>
        <w:t>com</w:t>
      </w:r>
      <w:r w:rsidR="00434FBF" w:rsidRPr="00AC1852">
        <w:rPr>
          <w:rFonts w:ascii="Times New Roman" w:hAnsi="Times New Roman" w:cs="Times New Roman"/>
          <w:color w:val="000000"/>
          <w:sz w:val="24"/>
          <w:szCs w:val="24"/>
        </w:rPr>
        <w:t xml:space="preserve"> maior economia nos gastos governamentais, isso considerando que os gastos se prolonguem ao máximo até 2022. Por último, há o cenário mais pessimista que considera uma diminuição na arrecadação como reflexo do ano de 2020, dessa forma, tendo os gastos do governo crescendo mais expressivamente do que a arrecadação líquida.</w:t>
      </w:r>
    </w:p>
    <w:p w14:paraId="3A6FCB7B" w14:textId="75F69DD6" w:rsidR="009C5B1A" w:rsidRPr="00AC1852" w:rsidRDefault="009C5B1A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F3381B" w14:textId="39AB606E" w:rsidR="00434FBF" w:rsidRPr="00AC1852" w:rsidRDefault="00434FBF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48E1A" wp14:editId="25091A5A">
            <wp:extent cx="5400040" cy="3512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EEC8" w14:textId="77777777" w:rsidR="009C5B1A" w:rsidRDefault="009C5B1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63A8B8" w14:textId="0348E150" w:rsidR="009C5B1A" w:rsidRPr="00986F69" w:rsidRDefault="00986F69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Tendo em vista o possível cenário de recuperação lenta, dificuldade para reduzir os gastos públicos, </w:t>
      </w:r>
      <w:r w:rsidRPr="00986F69">
        <w:rPr>
          <w:rFonts w:ascii="Times New Roman" w:hAnsi="Times New Roman" w:cs="Times New Roman"/>
          <w:color w:val="000000"/>
          <w:sz w:val="24"/>
          <w:szCs w:val="24"/>
        </w:rPr>
        <w:t xml:space="preserve">baixa possibilidade de uma reforma administrativa e fiscal </w:t>
      </w:r>
      <w:r w:rsidR="00277E3A">
        <w:rPr>
          <w:rFonts w:ascii="Times New Roman" w:hAnsi="Times New Roman" w:cs="Times New Roman"/>
          <w:color w:val="000000"/>
          <w:sz w:val="24"/>
          <w:szCs w:val="24"/>
        </w:rPr>
        <w:t>até as eleições de 2022</w:t>
      </w:r>
      <w:r w:rsidRPr="00986F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previsão é de que a dívida pública brasileira continue crescendo </w:t>
      </w:r>
      <w:r w:rsidR="00277E3A">
        <w:rPr>
          <w:rFonts w:ascii="Times New Roman" w:hAnsi="Times New Roman" w:cs="Times New Roman"/>
          <w:color w:val="000000"/>
          <w:sz w:val="24"/>
          <w:szCs w:val="24"/>
        </w:rPr>
        <w:t xml:space="preserve">pelo menos </w:t>
      </w:r>
      <w:r>
        <w:rPr>
          <w:rFonts w:ascii="Times New Roman" w:hAnsi="Times New Roman" w:cs="Times New Roman"/>
          <w:color w:val="000000"/>
          <w:sz w:val="24"/>
          <w:szCs w:val="24"/>
        </w:rPr>
        <w:t>até 2024.</w:t>
      </w:r>
    </w:p>
    <w:p w14:paraId="28FFA56B" w14:textId="2E7A89DE" w:rsidR="009C5B1A" w:rsidRDefault="00986F69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BE222BE" wp14:editId="2E07E67C">
            <wp:simplePos x="0" y="0"/>
            <wp:positionH relativeFrom="margin">
              <wp:align>left</wp:align>
            </wp:positionH>
            <wp:positionV relativeFrom="paragraph">
              <wp:posOffset>274376</wp:posOffset>
            </wp:positionV>
            <wp:extent cx="4733925" cy="3078480"/>
            <wp:effectExtent l="0" t="0" r="9525" b="7620"/>
            <wp:wrapThrough wrapText="bothSides">
              <wp:wrapPolygon edited="0">
                <wp:start x="0" y="0"/>
                <wp:lineTo x="0" y="21520"/>
                <wp:lineTo x="21557" y="21520"/>
                <wp:lineTo x="21557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55B5B" w14:textId="4ACCEAD9" w:rsidR="009C5B1A" w:rsidRDefault="009C5B1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2C9A904" w14:textId="3B7FBCCB" w:rsidR="009C5B1A" w:rsidRDefault="009C5B1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BCAB183" w14:textId="77777777" w:rsidR="009C5B1A" w:rsidRDefault="009C5B1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1370CF" w14:textId="77777777" w:rsidR="009C5B1A" w:rsidRDefault="009C5B1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7316AB" w14:textId="77777777" w:rsidR="009C5B1A" w:rsidRDefault="009C5B1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205A01" w14:textId="77777777" w:rsidR="009C5B1A" w:rsidRDefault="009C5B1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BD9C8B" w14:textId="77777777" w:rsidR="009C5B1A" w:rsidRDefault="009C5B1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20600C" w14:textId="77777777" w:rsidR="00986F69" w:rsidRDefault="00986F69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B7B44A" w14:textId="77777777" w:rsidR="00986F69" w:rsidRDefault="00986F69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103B8A" w14:textId="7324DA66" w:rsidR="00986F69" w:rsidRDefault="00277E3A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Referências</w:t>
      </w:r>
    </w:p>
    <w:p w14:paraId="1E9BF4D4" w14:textId="2135609C" w:rsidR="00277E3A" w:rsidRPr="005D5E7D" w:rsidRDefault="00277E3A" w:rsidP="008F3FEA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F0BC7">
        <w:t xml:space="preserve">Fiscal Monitor, April 2021. </w:t>
      </w:r>
      <w:r w:rsidRPr="005D5E7D">
        <w:t>FMI.</w:t>
      </w:r>
      <w:r w:rsidR="008F3FEA" w:rsidRPr="005D5E7D">
        <w:t xml:space="preserve"> [</w:t>
      </w:r>
      <w:hyperlink r:id="rId16" w:history="1">
        <w:r w:rsidR="008F3FEA" w:rsidRPr="005D5E7D">
          <w:rPr>
            <w:rStyle w:val="Hyperlink"/>
          </w:rPr>
          <w:t>https://www.imf.org/en/Publications/FM/Issues/2021/03/29/fiscal-monitor-april-2021</w:t>
        </w:r>
      </w:hyperlink>
      <w:r w:rsidR="008F3FEA" w:rsidRPr="005D5E7D">
        <w:t>]</w:t>
      </w:r>
      <w:r w:rsidR="005D5E7D" w:rsidRPr="005D5E7D">
        <w:t xml:space="preserve"> (coloca</w:t>
      </w:r>
      <w:r w:rsidR="005D5E7D">
        <w:t>r o texto acima com este link)</w:t>
      </w:r>
    </w:p>
    <w:p w14:paraId="111CBF73" w14:textId="36664A69" w:rsidR="00277E3A" w:rsidRDefault="00277E3A" w:rsidP="008F3FEA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77E3A">
        <w:t>Como a pandemia afetou a relação dívida/PIB dos diversos países?</w:t>
      </w:r>
      <w:r>
        <w:t xml:space="preserve"> Blog do Fernando Ellery.</w:t>
      </w:r>
      <w:r w:rsidR="008F3FEA">
        <w:t xml:space="preserve"> [</w:t>
      </w:r>
      <w:hyperlink r:id="rId17" w:history="1">
        <w:r w:rsidR="008F3FEA" w:rsidRPr="003C0C61">
          <w:rPr>
            <w:rStyle w:val="Hyperlink"/>
          </w:rPr>
          <w:t>https://rgellery.blogspot.com/2021/04/como-pandemia-afetou-relacao-dividapib.html</w:t>
        </w:r>
      </w:hyperlink>
      <w:r w:rsidR="008F3FEA">
        <w:t xml:space="preserve">] </w:t>
      </w:r>
      <w:r w:rsidR="005D5E7D" w:rsidRPr="005D5E7D">
        <w:t>(coloca</w:t>
      </w:r>
      <w:r w:rsidR="005D5E7D">
        <w:t>r o texto acima com este link)</w:t>
      </w:r>
    </w:p>
    <w:p w14:paraId="564C35E6" w14:textId="211E0D52" w:rsidR="00277E3A" w:rsidRDefault="00277E3A" w:rsidP="008F3FEA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Relatório de acompanhamento fiscal, abril de 2021. Instituto Fiscal Independente.</w:t>
      </w:r>
      <w:r w:rsidR="008F3FEA">
        <w:t xml:space="preserve"> [</w:t>
      </w:r>
      <w:hyperlink r:id="rId18" w:history="1">
        <w:r w:rsidR="008F3FEA" w:rsidRPr="003C0C61">
          <w:rPr>
            <w:rStyle w:val="Hyperlink"/>
          </w:rPr>
          <w:t>https://www2.senado.leg.br/bdsf/bitstream/handle/id/587890/RAF51_ABR2021_3_Orcamento.pdf</w:t>
        </w:r>
      </w:hyperlink>
      <w:r w:rsidR="008F3FEA">
        <w:t>]</w:t>
      </w:r>
      <w:r w:rsidR="005D5E7D">
        <w:t xml:space="preserve"> </w:t>
      </w:r>
      <w:r w:rsidR="005D5E7D" w:rsidRPr="005D5E7D">
        <w:t>(coloca</w:t>
      </w:r>
      <w:r w:rsidR="005D5E7D">
        <w:t>r o texto acima com este link)</w:t>
      </w:r>
    </w:p>
    <w:p w14:paraId="05DA2009" w14:textId="77777777" w:rsidR="00277E3A" w:rsidRPr="00277E3A" w:rsidRDefault="00277E3A" w:rsidP="00277E3A">
      <w:pPr>
        <w:pStyle w:val="NormalWeb"/>
        <w:spacing w:before="0" w:beforeAutospacing="0" w:after="0" w:afterAutospacing="0"/>
        <w:ind w:left="720"/>
        <w:jc w:val="both"/>
      </w:pPr>
    </w:p>
    <w:p w14:paraId="2AEECBB7" w14:textId="77777777" w:rsidR="00986F69" w:rsidRDefault="00986F69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E50876" w14:textId="6EC8DDB8" w:rsidR="00B27FA9" w:rsidRPr="00AC1852" w:rsidRDefault="00B27FA9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Guilherme Rodrigues </w:t>
      </w:r>
    </w:p>
    <w:p w14:paraId="7BF127BB" w14:textId="16317934" w:rsidR="009C5B1A" w:rsidRPr="009C5B1A" w:rsidRDefault="00B27FA9" w:rsidP="00AC18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Guilherme Maurino</w:t>
      </w:r>
      <w:r w:rsidR="00636B12" w:rsidRPr="00AC18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52CB47A" w14:textId="2C34AD82" w:rsidR="00804F1B" w:rsidRPr="00AC1852" w:rsidRDefault="00804F1B" w:rsidP="00AC18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Kevin Mattos</w:t>
      </w:r>
    </w:p>
    <w:p w14:paraId="5839B015" w14:textId="212198FC" w:rsidR="00FD7F31" w:rsidRPr="00FD7F31" w:rsidRDefault="00B27FA9" w:rsidP="00FD7F3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18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Pietro Iglezia</w:t>
      </w:r>
    </w:p>
    <w:sectPr w:rsidR="00FD7F31" w:rsidRPr="00FD7F31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E03D" w14:textId="77777777" w:rsidR="00EC2F82" w:rsidRDefault="00EC2F82" w:rsidP="00EC2F82">
      <w:pPr>
        <w:spacing w:after="0" w:line="240" w:lineRule="auto"/>
      </w:pPr>
      <w:r>
        <w:separator/>
      </w:r>
    </w:p>
  </w:endnote>
  <w:endnote w:type="continuationSeparator" w:id="0">
    <w:p w14:paraId="4F12F90F" w14:textId="77777777" w:rsidR="00EC2F82" w:rsidRDefault="00EC2F82" w:rsidP="00EC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5AC4" w14:textId="77777777" w:rsidR="00EC2F82" w:rsidRDefault="00EC2F82" w:rsidP="00EC2F82">
      <w:pPr>
        <w:spacing w:after="0" w:line="240" w:lineRule="auto"/>
      </w:pPr>
      <w:r>
        <w:separator/>
      </w:r>
    </w:p>
  </w:footnote>
  <w:footnote w:type="continuationSeparator" w:id="0">
    <w:p w14:paraId="47D49664" w14:textId="77777777" w:rsidR="00EC2F82" w:rsidRDefault="00EC2F82" w:rsidP="00EC2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600E" w14:textId="05A8126D" w:rsidR="00277E3A" w:rsidRDefault="002F0BC7">
    <w:pPr>
      <w:pStyle w:val="Cabealho"/>
    </w:pPr>
    <w:r>
      <w:t xml:space="preserve">[Título] </w:t>
    </w:r>
    <w:r w:rsidR="00FD7F31">
      <w:t>Boletim fiscal –</w:t>
    </w:r>
    <w:r w:rsidR="00277E3A">
      <w:t xml:space="preserve"> Dívida pública no Brasil e no mundo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B79"/>
    <w:multiLevelType w:val="hybridMultilevel"/>
    <w:tmpl w:val="3A7C07A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54122"/>
    <w:multiLevelType w:val="multilevel"/>
    <w:tmpl w:val="FE6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82"/>
    <w:rsid w:val="00277E3A"/>
    <w:rsid w:val="002F0BC7"/>
    <w:rsid w:val="003469B1"/>
    <w:rsid w:val="00434FBF"/>
    <w:rsid w:val="004E62F5"/>
    <w:rsid w:val="005B2B2D"/>
    <w:rsid w:val="005D5E7D"/>
    <w:rsid w:val="00636B12"/>
    <w:rsid w:val="006F0D8A"/>
    <w:rsid w:val="00804F1B"/>
    <w:rsid w:val="00823ED7"/>
    <w:rsid w:val="008F3FEA"/>
    <w:rsid w:val="00986F69"/>
    <w:rsid w:val="009C5B1A"/>
    <w:rsid w:val="00A34A0B"/>
    <w:rsid w:val="00AC1852"/>
    <w:rsid w:val="00B27FA9"/>
    <w:rsid w:val="00B521E0"/>
    <w:rsid w:val="00B536E6"/>
    <w:rsid w:val="00B60B69"/>
    <w:rsid w:val="00C71D59"/>
    <w:rsid w:val="00CA2F24"/>
    <w:rsid w:val="00D976EB"/>
    <w:rsid w:val="00EC2F82"/>
    <w:rsid w:val="00F00D3B"/>
    <w:rsid w:val="00F63E73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9E8C"/>
  <w15:chartTrackingRefBased/>
  <w15:docId w15:val="{78E0ED9C-A26E-4205-B1D0-6293A098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2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2F82"/>
  </w:style>
  <w:style w:type="paragraph" w:styleId="Rodap">
    <w:name w:val="footer"/>
    <w:basedOn w:val="Normal"/>
    <w:link w:val="RodapChar"/>
    <w:uiPriority w:val="99"/>
    <w:unhideWhenUsed/>
    <w:rsid w:val="00EC2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2F82"/>
  </w:style>
  <w:style w:type="paragraph" w:styleId="NormalWeb">
    <w:name w:val="Normal (Web)"/>
    <w:basedOn w:val="Normal"/>
    <w:uiPriority w:val="99"/>
    <w:unhideWhenUsed/>
    <w:rsid w:val="00277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77E3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7E3A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2.senado.leg.br/bdsf/bitstream/handle/id/587890/RAF51_ABR2021_3_Orcamento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ov.br/economia/pt-br/assuntos/noticias/2021/janeiro/governo-central-tem-deficit-primario-de-r-743-1-bilhoes-em-2020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rgellery.blogspot.com/2021/04/como-pandemia-afetou-relacao-dividapi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f.org/en/Publications/FM/Issues/2021/03/29/fiscal-monitor-april-20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Mattos</dc:creator>
  <cp:keywords/>
  <dc:description/>
  <cp:lastModifiedBy>Kevin Mattos</cp:lastModifiedBy>
  <cp:revision>2</cp:revision>
  <dcterms:created xsi:type="dcterms:W3CDTF">2021-06-02T22:10:00Z</dcterms:created>
  <dcterms:modified xsi:type="dcterms:W3CDTF">2021-06-02T22:10:00Z</dcterms:modified>
</cp:coreProperties>
</file>