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24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Empiria: A Composable, Browser-Based Environment for Simulation-Based Statistics Education</w:t>
      </w:r>
    </w:p>
    <w:p>
      <w:pPr>
        <w:pStyle w:val="Author"/>
      </w:pPr>
      <w:r>
        <w:t xml:space="preserve">Kevin Schoenholzer</w:t>
      </w:r>
    </w:p>
    <w:p>
      <w:pPr>
        <w:pStyle w:val="Date"/>
      </w:pPr>
      <w:r>
        <w:t xml:space="preserve">May 2026</w:t>
      </w:r>
    </w:p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Simulation-based reasoning—building a sampling distribution empirically before</w:t>
      </w:r>
      <w:r>
        <w:t xml:space="preserve"> </w:t>
      </w:r>
      <w:r>
        <w:t xml:space="preserve">meeting it as a formula—is now central to statistics teaching, but the</w:t>
      </w:r>
      <w:r>
        <w:t xml:space="preserve"> </w:t>
      </w:r>
      <w:r>
        <w:t xml:space="preserve">supporting software is typically siloed: each applet addresses one concept and</w:t>
      </w:r>
      <w:r>
        <w:t xml:space="preserve"> </w:t>
      </w:r>
      <w:r>
        <w:t xml:space="preserve">its output cannot feed the next step, so the workflow students must internalize</w:t>
      </w:r>
      <w:r>
        <w:t xml:space="preserve"> </w:t>
      </w:r>
      <w:r>
        <w:t xml:space="preserve">stays implicit. This article describes Empiria, a free, open-source,</w:t>
      </w:r>
      <w:r>
        <w:t xml:space="preserve"> </w:t>
      </w:r>
      <w:r>
        <w:t xml:space="preserve">browser-based environment that makes that workflow explicit by representing it</w:t>
      </w:r>
      <w:r>
        <w:t xml:space="preserve"> </w:t>
      </w:r>
      <w:r>
        <w:t xml:space="preserve">as a composable dataflow graph: students wire small modules together with</w:t>
      </w:r>
      <w:r>
        <w:t xml:space="preserve"> </w:t>
      </w:r>
      <w:r>
        <w:t xml:space="preserve">cables and watch every intermediate quantity update in real time—optionally</w:t>
      </w:r>
      <w:r>
        <w:t xml:space="preserve"> </w:t>
      </w:r>
      <w:r>
        <w:t xml:space="preserve">beside the live mathematical formula each node computes. Empiria runs</w:t>
      </w:r>
      <w:r>
        <w:t xml:space="preserve"> </w:t>
      </w:r>
      <w:r>
        <w:t xml:space="preserve">with no installation on any modern device, ships sixteen guided lessons and a</w:t>
      </w:r>
      <w:r>
        <w:t xml:space="preserve"> </w:t>
      </w:r>
      <w:r>
        <w:t xml:space="preserve">short tour, and exports figures, data, and fully reproducible patches. Its</w:t>
      </w:r>
      <w:r>
        <w:t xml:space="preserve"> </w:t>
      </w:r>
      <w:r>
        <w:t xml:space="preserve">closed-form routines are verified against R to machine precision and its</w:t>
      </w:r>
      <w:r>
        <w:t xml:space="preserve"> </w:t>
      </w:r>
      <w:r>
        <w:t xml:space="preserve">randomised procedures against published reference values, so the tool is</w:t>
      </w:r>
      <w:r>
        <w:t xml:space="preserve"> </w:t>
      </w:r>
      <w:r>
        <w:t xml:space="preserve">auditable as well as legible. It is available at</w:t>
      </w:r>
      <w:r>
        <w:t xml:space="preserve"> </w:t>
      </w:r>
      <w:hyperlink r:id="rId9">
        <w:r>
          <w:rPr>
            <w:rStyle w:val="Hyperlink"/>
          </w:rPr>
          <w:t xml:space="preserve">https://kevinschoenholzer.com/empiria/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Teaching Statistics; simulation-based inference; statistics</w:t>
      </w:r>
      <w:r>
        <w:t xml:space="preserve"> </w:t>
      </w:r>
      <w:r>
        <w:t xml:space="preserve">education; sampling distributions; bootstrap; reproducibility; educational</w:t>
      </w:r>
      <w:r>
        <w:t xml:space="preserve"> </w:t>
      </w:r>
      <w:r>
        <w:t xml:space="preserve">technology; dataflow</w:t>
      </w:r>
    </w:p>
    <w:bookmarkEnd w:id="10"/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case for reorganizing introductory statistics around simulation-based</w:t>
      </w:r>
      <w:r>
        <w:t xml:space="preserve"> </w:t>
      </w:r>
      <w:r>
        <w:t xml:space="preserve">reasoning, rather than closed-form normal-theory derivation, is by now well</w:t>
      </w:r>
      <w:r>
        <w:t xml:space="preserve"> </w:t>
      </w:r>
      <w:r>
        <w:t xml:space="preserve">established. Cobb (2007) argued that the curriculum had over-invested in</w:t>
      </w:r>
      <w:r>
        <w:t xml:space="preserve"> </w:t>
      </w:r>
      <w:r>
        <w:t xml:space="preserve">analytic derivations at the expense of randomization- and simulation-based</w:t>
      </w:r>
      <w:r>
        <w:t xml:space="preserve"> </w:t>
      </w:r>
      <w:r>
        <w:t xml:space="preserve">approaches in which the sampling distribution is built empirically before it</w:t>
      </w:r>
      <w:r>
        <w:t xml:space="preserve"> </w:t>
      </w:r>
      <w:r>
        <w:t xml:space="preserve">is named; the simulation-based-inference movement subsequently built curricula</w:t>
      </w:r>
      <w:r>
        <w:t xml:space="preserve"> </w:t>
      </w:r>
      <w:r>
        <w:t xml:space="preserve">around that idea (Rossman &amp; Chance, 2014) and reported measurable gains in</w:t>
      </w:r>
      <w:r>
        <w:t xml:space="preserve"> </w:t>
      </w:r>
      <w:r>
        <w:t xml:space="preserve">students’ reasoning about</w:t>
      </w:r>
      <w:r>
        <w:t xml:space="preserve"> </w:t>
      </w:r>
      <w:r>
        <w:rPr>
          <w:i/>
          <w:iCs/>
        </w:rPr>
        <w:t xml:space="preserve">p</w:t>
      </w:r>
      <w:r>
        <w:t xml:space="preserve">-values and confidence intervals (Tintle et al.,</w:t>
      </w:r>
      <w:r>
        <w:t xml:space="preserve"> </w:t>
      </w:r>
      <w:r>
        <w:t xml:space="preserve">2015), and the GAISE College Report codified the</w:t>
      </w:r>
      <w:r>
        <w:t xml:space="preserve"> </w:t>
      </w:r>
      <w:r>
        <w:t xml:space="preserve">corresponding recommendations—foster active learning, use real data, integrate</w:t>
      </w:r>
      <w:r>
        <w:t xml:space="preserve"> </w:t>
      </w:r>
      <w:r>
        <w:t xml:space="preserve">technology, and emphasize statistical thinking (American Statistical Association, 2016). A sustained research literature documents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this is</w:t>
      </w:r>
      <w:r>
        <w:t xml:space="preserve"> </w:t>
      </w:r>
      <w:r>
        <w:t xml:space="preserve">hard: students struggle to form durable intuitions about sampling variability</w:t>
      </w:r>
      <w:r>
        <w:t xml:space="preserve"> </w:t>
      </w:r>
      <w:r>
        <w:t xml:space="preserve">and the sampling distribution of an estimator, and they benefit from</w:t>
      </w:r>
      <w:r>
        <w:t xml:space="preserve"> </w:t>
      </w:r>
      <w:r>
        <w:t xml:space="preserve">manipulating parameters and observing the consequences in real time (Chance et al., 2004; delMas et al., 2007; Garfield &amp; Ben-Zvi, 2009).</w:t>
      </w:r>
    </w:p>
    <w:p>
      <w:pPr>
        <w:pStyle w:val="BodyText"/>
      </w:pPr>
      <w:r>
        <w:t xml:space="preserve">The pedagogical principle is now mainstream; what remains uneven is the</w:t>
      </w:r>
      <w:r>
        <w:t xml:space="preserve"> </w:t>
      </w:r>
      <w:r>
        <w:rPr>
          <w:i/>
          <w:iCs/>
        </w:rPr>
        <w:t xml:space="preserve">toolkit</w:t>
      </w:r>
      <w:r>
        <w:t xml:space="preserve"> </w:t>
      </w:r>
      <w:r>
        <w:t xml:space="preserve">through which it is delivered. The existing landscape is fragmented.</w:t>
      </w:r>
      <w:r>
        <w:t xml:space="preserve"> </w:t>
      </w:r>
      <w:r>
        <w:t xml:space="preserve">Sampling-distribution visualizers address sampling variability (Chance et al., 2004; delMas et al., 2007); TinkerPlots supports school-level exploratory</w:t>
      </w:r>
      <w:r>
        <w:t xml:space="preserve"> </w:t>
      </w:r>
      <w:r>
        <w:t xml:space="preserve">analysis (Konold &amp; Lehrer, 2008) and CODAP extends this to data science for</w:t>
      </w:r>
      <w:r>
        <w:t xml:space="preserve"> </w:t>
      </w:r>
      <w:r>
        <w:t xml:space="preserve">younger learners (Finzer, 2013); NetLogo is the dominant agent-based-modeling</w:t>
      </w:r>
      <w:r>
        <w:t xml:space="preserve"> </w:t>
      </w:r>
      <w:r>
        <w:t xml:space="preserve">environment (Wilensky, 1999); StatKey supports a full simulation-based-inference</w:t>
      </w:r>
      <w:r>
        <w:t xml:space="preserve"> </w:t>
      </w:r>
      <w:r>
        <w:t xml:space="preserve">curriculum in the browser (Lock et al., 2021); and a large number of</w:t>
      </w:r>
      <w:r>
        <w:t xml:space="preserve"> </w:t>
      </w:r>
      <w:r>
        <w:t xml:space="preserve">single-purpose applets (for example, the</w:t>
      </w:r>
      <w:r>
        <w:t xml:space="preserve"> </w:t>
      </w:r>
      <w:r>
        <w:rPr>
          <w:i/>
          <w:iCs/>
        </w:rPr>
        <w:t xml:space="preserve">Rossman/Chance</w:t>
      </w:r>
      <w:r>
        <w:t xml:space="preserve"> </w:t>
      </w:r>
      <w:r>
        <w:t xml:space="preserve">collection and</w:t>
      </w:r>
      <w:r>
        <w:t xml:space="preserve"> </w:t>
      </w:r>
      <w:r>
        <w:rPr>
          <w:i/>
          <w:iCs/>
        </w:rPr>
        <w:t xml:space="preserve">Seeing Theory</w:t>
      </w:r>
      <w:r>
        <w:t xml:space="preserve">) and instructor-built R Shiny dashboards address specific</w:t>
      </w:r>
      <w:r>
        <w:t xml:space="preserve"> </w:t>
      </w:r>
      <w:r>
        <w:t xml:space="preserve">techniques. Each of these</w:t>
      </w:r>
      <w:r>
        <w:t xml:space="preserve"> </w:t>
      </w:r>
      <w:r>
        <w:t xml:space="preserve">tools is effective within its domain, but each is also</w:t>
      </w:r>
      <w:r>
        <w:t xml:space="preserve"> </w:t>
      </w:r>
      <w:r>
        <w:rPr>
          <w:i/>
          <w:iCs/>
        </w:rPr>
        <w:t xml:space="preserve">self-contained</w:t>
      </w:r>
      <w:r>
        <w:t xml:space="preserve">: the</w:t>
      </w:r>
      <w:r>
        <w:t xml:space="preserve"> </w:t>
      </w:r>
      <w:r>
        <w:t xml:space="preserve">output of one cannot be piped into the next analytical step. This matters</w:t>
      </w:r>
      <w:r>
        <w:t xml:space="preserve"> </w:t>
      </w:r>
      <w:r>
        <w:t xml:space="preserve">because the workflow students must internalize—data-generating process →</w:t>
      </w:r>
      <w:r>
        <w:t xml:space="preserve"> </w:t>
      </w:r>
      <w:r>
        <w:t xml:space="preserve">sampling → estimation → inference → diagnostics—is exactly a</w:t>
      </w:r>
      <w:r>
        <w:t xml:space="preserve"> </w:t>
      </w:r>
      <w:r>
        <w:rPr>
          <w:i/>
          <w:iCs/>
        </w:rPr>
        <w:t xml:space="preserve">composable</w:t>
      </w:r>
      <w:r>
        <w:rPr>
          <w:i/>
          <w:iCs/>
        </w:rPr>
        <w:t xml:space="preserve"> </w:t>
      </w:r>
      <w:r>
        <w:rPr>
          <w:i/>
          <w:iCs/>
        </w:rPr>
        <w:t xml:space="preserve">pipeline</w:t>
      </w:r>
      <w:r>
        <w:t xml:space="preserve">, and one-applet-per-concept tools render that pipeline invisible.</w:t>
      </w:r>
    </w:p>
    <w:p>
      <w:pPr>
        <w:pStyle w:val="BodyText"/>
      </w:pPr>
      <w:r>
        <w:t xml:space="preserve">This article describes</w:t>
      </w:r>
      <w:r>
        <w:t xml:space="preserve"> </w:t>
      </w:r>
      <w:r>
        <w:rPr>
          <w:b/>
          <w:bCs/>
        </w:rPr>
        <w:t xml:space="preserve">Empiria</w:t>
      </w:r>
      <w:r>
        <w:t xml:space="preserve">, an open-source, browser-based environment</w:t>
      </w:r>
      <w:r>
        <w:t xml:space="preserve"> </w:t>
      </w:r>
      <w:r>
        <w:t xml:space="preserve">that restores composition at the level of the platform. In Empiria a student</w:t>
      </w:r>
      <w:r>
        <w:t xml:space="preserve"> </w:t>
      </w:r>
      <w:r>
        <w:t xml:space="preserve">builds an analysis as a</w:t>
      </w:r>
      <w:r>
        <w:t xml:space="preserve"> </w:t>
      </w:r>
      <w:r>
        <w:rPr>
          <w:i/>
          <w:iCs/>
        </w:rPr>
        <w:t xml:space="preserve">dataflow graph</w:t>
      </w:r>
      <w:r>
        <w:t xml:space="preserve">: small modules (</w:t>
      </w:r>
      <w:r>
        <w:t xml:space="preserve">“nodes”</w:t>
      </w:r>
      <w:r>
        <w:t xml:space="preserve">) are connected</w:t>
      </w:r>
      <w:r>
        <w:t xml:space="preserve"> </w:t>
      </w:r>
      <w:r>
        <w:t xml:space="preserve">by cables, a global clock advances the computation, and the output of any node</w:t>
      </w:r>
      <w:r>
        <w:t xml:space="preserve"> </w:t>
      </w:r>
      <w:r>
        <w:t xml:space="preserve">is a signal that can be routed into any other. The entire inferential pipeline</w:t>
      </w:r>
      <w:r>
        <w:t xml:space="preserve"> </w:t>
      </w:r>
      <w:r>
        <w:t xml:space="preserve">therefore sits on a single screen, wired together, with every intermediate</w:t>
      </w:r>
      <w:r>
        <w:t xml:space="preserve"> </w:t>
      </w:r>
      <w:r>
        <w:t xml:space="preserve">quantity visible and manipulable as it updates. The contributions of the tool,</w:t>
      </w:r>
      <w:r>
        <w:t xml:space="preserve"> </w:t>
      </w:r>
      <w:r>
        <w:t xml:space="preserve">and of this article, are: (1) a composable, signal-flow interaction model for</w:t>
      </w:r>
      <w:r>
        <w:t xml:space="preserve"> </w:t>
      </w:r>
      <w:r>
        <w:t xml:space="preserve">simulation-based inference that makes the inferential workflow explicit; (2) a</w:t>
      </w:r>
      <w:r>
        <w:t xml:space="preserve"> </w:t>
      </w:r>
      <w:r>
        <w:t xml:space="preserve">live mathematical-notation view that renders each module’s formula with the</w:t>
      </w:r>
      <w:r>
        <w:t xml:space="preserve"> </w:t>
      </w:r>
      <w:r>
        <w:t xml:space="preserve">current values substituted, tying symbolic form to direct manipulation; (3) a</w:t>
      </w:r>
      <w:r>
        <w:t xml:space="preserve"> </w:t>
      </w:r>
      <w:r>
        <w:t xml:space="preserve">zero-installation, cross-device implementation with sixteen ready-made lessons</w:t>
      </w:r>
      <w:r>
        <w:t xml:space="preserve"> </w:t>
      </w:r>
      <w:r>
        <w:t xml:space="preserve">and a guided tour; and (4) a verification methodology (exact numerical recipes,</w:t>
      </w:r>
      <w:r>
        <w:t xml:space="preserve"> </w:t>
      </w:r>
      <w:r>
        <w:t xml:space="preserve">deterministic seeding, and an automated test suite checked against R) that makes</w:t>
      </w:r>
      <w:r>
        <w:t xml:space="preserve"> </w:t>
      </w:r>
      <w:r>
        <w:t xml:space="preserve">the tool auditable rather than merely persuasive.</w:t>
      </w:r>
    </w:p>
    <w:bookmarkEnd w:id="11"/>
    <w:bookmarkStart w:id="12" w:name="background-and-related-tools"/>
    <w:p>
      <w:pPr>
        <w:pStyle w:val="Heading1"/>
      </w:pPr>
      <w:r>
        <w:t xml:space="preserve">Background and related tools</w:t>
      </w:r>
    </w:p>
    <w:p>
      <w:pPr>
        <w:pStyle w:val="FirstParagraph"/>
      </w:pPr>
      <w:r>
        <w:t xml:space="preserve">Empiria’s nearest neighbors are the sampling-distribution visualizers studied</w:t>
      </w:r>
      <w:r>
        <w:t xml:space="preserve"> </w:t>
      </w:r>
      <w:r>
        <w:t xml:space="preserve">in the statistics-education literature (Chance et al., 2004; delMas et al., 2007), TinkerPlots (Konold &amp; Lehrer, 2008), CODAP (Finzer, 2013), NetLogo</w:t>
      </w:r>
      <w:r>
        <w:t xml:space="preserve"> </w:t>
      </w:r>
      <w:r>
        <w:t xml:space="preserve">(Wilensky, 1999), the StatKey tools that accompany a simulation-based-inference</w:t>
      </w:r>
      <w:r>
        <w:t xml:space="preserve"> </w:t>
      </w:r>
      <w:r>
        <w:t xml:space="preserve">curriculum (Lock et al., 2021), the</w:t>
      </w:r>
      <w:r>
        <w:t xml:space="preserve"> </w:t>
      </w:r>
      <w:r>
        <w:rPr>
          <w:i/>
          <w:iCs/>
        </w:rPr>
        <w:t xml:space="preserve">Rossman/Chance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Seeing Theory</w:t>
      </w:r>
      <w:r>
        <w:t xml:space="preserve"> </w:t>
      </w:r>
      <w:r>
        <w:t xml:space="preserve">applet</w:t>
      </w:r>
      <w:r>
        <w:t xml:space="preserve"> </w:t>
      </w:r>
      <w:r>
        <w:t xml:space="preserve">collections, and the many instructor-authored R Shiny applications. These tools established</w:t>
      </w:r>
      <w:r>
        <w:t xml:space="preserve"> </w:t>
      </w:r>
      <w:r>
        <w:t xml:space="preserve">that dynamic, manipulable visualization supports the construction of sampling</w:t>
      </w:r>
      <w:r>
        <w:t xml:space="preserve"> </w:t>
      </w:r>
      <w:r>
        <w:t xml:space="preserve">intuitions, and Empiria builds directly on that finding.</w:t>
      </w:r>
    </w:p>
    <w:p>
      <w:pPr>
        <w:pStyle w:val="BodyText"/>
      </w:pPr>
      <w:r>
        <w:t xml:space="preserve">Empiria differs from these precedents in three respects. First, it is a</w:t>
      </w:r>
      <w:r>
        <w:t xml:space="preserve"> </w:t>
      </w:r>
      <w:r>
        <w:rPr>
          <w:i/>
          <w:iCs/>
        </w:rPr>
        <w:t xml:space="preserve">composable signal-flow environment</w:t>
      </w:r>
      <w:r>
        <w:t xml:space="preserve"> </w:t>
      </w:r>
      <w:r>
        <w:t xml:space="preserve">rather than a single-purpose application.</w:t>
      </w:r>
      <w:r>
        <w:t xml:space="preserve"> </w:t>
      </w:r>
      <w:r>
        <w:t xml:space="preserve">Even free, browser-based simulation tools such as StatKey present one analysis</w:t>
      </w:r>
      <w:r>
        <w:t xml:space="preserve"> </w:t>
      </w:r>
      <w:r>
        <w:t xml:space="preserve">per screen; in Empiria the output of any module is a signal that can be routed</w:t>
      </w:r>
      <w:r>
        <w:t xml:space="preserve"> </w:t>
      </w:r>
      <w:r>
        <w:t xml:space="preserve">into any other, so a parametric sampler can feed a sampling-window estimator,</w:t>
      </w:r>
      <w:r>
        <w:t xml:space="preserve"> </w:t>
      </w:r>
      <w:r>
        <w:t xml:space="preserve">which can feed a hypothesis test or a bootstrap, with no copy-paste or context</w:t>
      </w:r>
      <w:r>
        <w:t xml:space="preserve"> </w:t>
      </w:r>
      <w:r>
        <w:t xml:space="preserve">switch. Second,</w:t>
      </w:r>
      <w:r>
        <w:t xml:space="preserve"> </w:t>
      </w:r>
      <w:r>
        <w:t xml:space="preserve">it lowers the cost of authoring new teaching material: where a Shiny applet</w:t>
      </w:r>
      <w:r>
        <w:t xml:space="preserve"> </w:t>
      </w:r>
      <w:r>
        <w:t xml:space="preserve">requires fluency in R, HTML, and reactive programming, an Empiria activity is</w:t>
      </w:r>
      <w:r>
        <w:t xml:space="preserve"> </w:t>
      </w:r>
      <w:r>
        <w:t xml:space="preserve">assembled by wiring existing modules, and a new module is a single function</w:t>
      </w:r>
      <w:r>
        <w:t xml:space="preserve"> </w:t>
      </w:r>
      <w:r>
        <w:t xml:space="preserve">with a small parameter schema. Third, it treats numerical correctness and</w:t>
      </w:r>
      <w:r>
        <w:t xml:space="preserve"> </w:t>
      </w:r>
      <w:r>
        <w:t xml:space="preserve">reproducibility as first-class, testable properties (described below), so that</w:t>
      </w:r>
      <w:r>
        <w:t xml:space="preserve"> </w:t>
      </w:r>
      <w:r>
        <w:t xml:space="preserve">the tool can be audited by a skeptical instructor rather than taken on trust.</w:t>
      </w:r>
      <w:r>
        <w:t xml:space="preserve"> </w:t>
      </w:r>
      <w:r>
        <w:t xml:space="preserve">Empiria does not aim to replace analytic software such as R; it is a</w:t>
      </w:r>
      <w:r>
        <w:t xml:space="preserve"> </w:t>
      </w:r>
      <w:r>
        <w:t xml:space="preserve">complementary, simulation-first interface intended to make the elementary</w:t>
      </w:r>
      <w:r>
        <w:t xml:space="preserve"> </w:t>
      </w:r>
      <w:r>
        <w:t xml:space="preserve">operations of sampling, estimation, inference, and diagnosis directly</w:t>
      </w:r>
      <w:r>
        <w:t xml:space="preserve"> </w:t>
      </w:r>
      <w:r>
        <w:t xml:space="preserve">manipulable.</w:t>
      </w:r>
    </w:p>
    <w:bookmarkEnd w:id="12"/>
    <w:bookmarkStart w:id="20" w:name="design"/>
    <w:p>
      <w:pPr>
        <w:pStyle w:val="Heading1"/>
      </w:pPr>
      <w:r>
        <w:t xml:space="preserve">Design</w:t>
      </w:r>
    </w:p>
    <w:bookmarkStart w:id="16" w:name="the-dataflow-canvas"/>
    <w:p>
      <w:pPr>
        <w:pStyle w:val="Heading2"/>
      </w:pPr>
      <w:r>
        <w:t xml:space="preserve">The dataflow canvas</w:t>
      </w:r>
    </w:p>
    <w:p>
      <w:pPr>
        <w:pStyle w:val="FirstParagraph"/>
      </w:pPr>
      <w:r>
        <w:t xml:space="preserve">Empiria presents an infinite canvas on which the user places typed</w:t>
      </w:r>
      <w:r>
        <w:t xml:space="preserve"> </w:t>
      </w:r>
      <w:r>
        <w:rPr>
          <w:i/>
          <w:iCs/>
        </w:rPr>
        <w:t xml:space="preserve">nodes</w:t>
      </w:r>
      <w:r>
        <w:t xml:space="preserve"> </w:t>
      </w:r>
      <w:r>
        <w:t xml:space="preserve">and</w:t>
      </w:r>
      <w:r>
        <w:t xml:space="preserve"> </w:t>
      </w:r>
      <w:r>
        <w:t xml:space="preserve">connects their ports with</w:t>
      </w:r>
      <w:r>
        <w:t xml:space="preserve"> </w:t>
      </w:r>
      <w:r>
        <w:rPr>
          <w:i/>
          <w:iCs/>
        </w:rPr>
        <w:t xml:space="preserve">cables</w:t>
      </w:r>
      <w:r>
        <w:t xml:space="preserve">. Every node exposes labelled input ports on</w:t>
      </w:r>
      <w:r>
        <w:t xml:space="preserve"> </w:t>
      </w:r>
      <w:r>
        <w:t xml:space="preserve">its left and output ports on its right; dragging a cable from an output to an</w:t>
      </w:r>
      <w:r>
        <w:t xml:space="preserve"> </w:t>
      </w:r>
      <w:r>
        <w:t xml:space="preserve">input establishes a dependency. A global clock advances the graph in</w:t>
      </w:r>
      <w:r>
        <w:t xml:space="preserve"> </w:t>
      </w:r>
      <w:r>
        <w:t xml:space="preserve">topological order, and on each tick every node reads its inputs, updates its</w:t>
      </w:r>
      <w:r>
        <w:t xml:space="preserve"> </w:t>
      </w:r>
      <w:r>
        <w:t xml:space="preserve">internal state, and renders a small visualization matched to the quantity it</w:t>
      </w:r>
      <w:r>
        <w:t xml:space="preserve"> </w:t>
      </w:r>
      <w:r>
        <w:t xml:space="preserve">computes. A complete analysis is thus laid out left to right as a visible chain</w:t>
      </w:r>
      <w:r>
        <w:t xml:space="preserve"> </w:t>
      </w:r>
      <w:r>
        <w:t xml:space="preserve">(source → transform → statistic → display), and every intermediate value is</w:t>
      </w:r>
      <w:r>
        <w:t xml:space="preserve"> </w:t>
      </w:r>
      <w:r>
        <w:t xml:space="preserve">observable as it changes (Figure 1). This interaction model is a deliberate</w:t>
      </w:r>
      <w:r>
        <w:t xml:space="preserve"> </w:t>
      </w:r>
      <w:r>
        <w:t xml:space="preserve">descendant of the dataflow and analog-computing traditions (visual</w:t>
      </w:r>
      <w:r>
        <w:t xml:space="preserve"> </w:t>
      </w:r>
      <w:r>
        <w:t xml:space="preserve">patch-and-cable environments and the differential analyzers that preceded</w:t>
      </w:r>
      <w:r>
        <w:t xml:space="preserve"> </w:t>
      </w:r>
      <w:r>
        <w:t xml:space="preserve">digital computation), in which the wiring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program.</w:t>
      </w:r>
    </w:p>
    <w:p>
      <w:pPr>
        <w:pStyle w:val="BodyText"/>
      </w:pPr>
      <w:r>
        <w:drawing>
          <wp:inline>
            <wp:extent cx="5334000" cy="3294529"/>
            <wp:effectExtent b="0" l="0" r="0" t="0"/>
            <wp:docPr descr="Two-sample comparison assembled on the Empiria canvas" title="" id="14" name="Picture"/>
            <a:graphic>
              <a:graphicData uri="http://schemas.openxmlformats.org/drawingml/2006/picture">
                <pic:pic>
                  <pic:nvPicPr>
                    <pic:cNvPr descr="submission/figures/twogroup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A two-sample comparison assembled on the Empiria canvas. Two independent samplers—each drawing from its own population and showing a live histogram—feed a single test node that overlays the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reference distribution and reports the statistic and decision. The analysis is</w:t>
      </w:r>
      <w:r>
        <w:t xml:space="preserve"> </w:t>
      </w:r>
      <w:r>
        <w:rPr>
          <w:i/>
          <w:iCs/>
        </w:rPr>
        <w:t xml:space="preserve">built</w:t>
      </w:r>
      <w:r>
        <w:t xml:space="preserve"> </w:t>
      </w:r>
      <w:r>
        <w:t xml:space="preserve">as wired modules rather than invoked as a function call, so the data-generating process → sampling → estimation → inference workflow is laid out left to right with every intermediate quantity visible at once.</w:t>
      </w:r>
    </w:p>
    <w:p>
      <w:pPr>
        <w:pStyle w:val="BodyText"/>
      </w:pPr>
      <w:r>
        <w:t xml:space="preserve">The clock speed is adjustable from roughly one tick per second—slow enough to</w:t>
      </w:r>
      <w:r>
        <w:t xml:space="preserve"> </w:t>
      </w:r>
      <w:r>
        <w:t xml:space="preserve">watch individual draws accumulate—to several thousand per second for rapid</w:t>
      </w:r>
      <w:r>
        <w:t xml:space="preserve"> </w:t>
      </w:r>
      <w:r>
        <w:t xml:space="preserve">convergence, with the current rate displayed. Light and dark themes, a</w:t>
      </w:r>
      <w:r>
        <w:t xml:space="preserve"> </w:t>
      </w:r>
      <w:r>
        <w:t xml:space="preserve">large-type</w:t>
      </w:r>
      <w:r>
        <w:t xml:space="preserve"> </w:t>
      </w:r>
      <w:r>
        <w:t xml:space="preserve">“projector”</w:t>
      </w:r>
      <w:r>
        <w:t xml:space="preserve"> </w:t>
      </w:r>
      <w:r>
        <w:t xml:space="preserve">mode for lecture rooms, and a colorblind-safe palette</w:t>
      </w:r>
      <w:r>
        <w:t xml:space="preserve"> </w:t>
      </w:r>
      <w:r>
        <w:t xml:space="preserve">support classroom use.</w:t>
      </w:r>
    </w:p>
    <w:bookmarkEnd w:id="16"/>
    <w:bookmarkStart w:id="17" w:name="the-engine-and-reproducibility-model"/>
    <w:p>
      <w:pPr>
        <w:pStyle w:val="Heading2"/>
      </w:pPr>
      <w:r>
        <w:t xml:space="preserve">The engine and reproducibility model</w:t>
      </w:r>
    </w:p>
    <w:p>
      <w:pPr>
        <w:pStyle w:val="FirstParagraph"/>
      </w:pPr>
      <w:r>
        <w:t xml:space="preserve">Empiria’s computational core is implemented as a dependency-free TypeScript</w:t>
      </w:r>
      <w:r>
        <w:t xml:space="preserve"> </w:t>
      </w:r>
      <w:r>
        <w:t xml:space="preserve">engine that is independent of the user interface. All randomness derives from a</w:t>
      </w:r>
      <w:r>
        <w:t xml:space="preserve"> </w:t>
      </w:r>
      <w:r>
        <w:t xml:space="preserve">single seeded Mersenne-Twister generator (Matsumoto &amp; Nishimura, 1998); the</w:t>
      </w:r>
      <w:r>
        <w:t xml:space="preserve"> </w:t>
      </w:r>
      <w:r>
        <w:t xml:space="preserve">standard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 </w:t>
      </w:r>
      <w:r>
        <w:t xml:space="preserve">is never used, because it is neither seedable nor</w:t>
      </w:r>
      <w:r>
        <w:t xml:space="preserve"> </w:t>
      </w:r>
      <w:r>
        <w:t xml:space="preserve">reproducible across browsers. Each stochastic node derives its own stream</w:t>
      </w:r>
      <w:r>
        <w:t xml:space="preserve"> </w:t>
      </w:r>
      <w:r>
        <w:t xml:space="preserve">deterministically from the master seed and its node identifier, so that adding</w:t>
      </w:r>
      <w:r>
        <w:t xml:space="preserve"> </w:t>
      </w:r>
      <w:r>
        <w:t xml:space="preserve">or removing a node does not perturb the others. A patch—the complete</w:t>
      </w:r>
      <w:r>
        <w:t xml:space="preserve"> </w:t>
      </w:r>
      <w:r>
        <w:t xml:space="preserve">description of the nodes, their parameters, the wiring, and the master</w:t>
      </w:r>
      <w:r>
        <w:t xml:space="preserve"> </w:t>
      </w:r>
      <w:r>
        <w:t xml:space="preserve">seed—serializes to a small JSON document that can be saved as a file or encoded</w:t>
      </w:r>
      <w:r>
        <w:t xml:space="preserve"> </w:t>
      </w:r>
      <w:r>
        <w:t xml:space="preserve">into a shareable URL; loading it reconstructs the simulation byte-for-byte on</w:t>
      </w:r>
      <w:r>
        <w:t xml:space="preserve"> </w:t>
      </w:r>
      <w:r>
        <w:t xml:space="preserve">any machine. Computation is performed in IEEE-754 double precision with no</w:t>
      </w:r>
      <w:r>
        <w:t xml:space="preserve"> </w:t>
      </w:r>
      <w:r>
        <w:t xml:space="preserve">platform-specific code paths, so a worked example is exactly reproducible</w:t>
      </w:r>
      <w:r>
        <w:t xml:space="preserve"> </w:t>
      </w:r>
      <w:r>
        <w:t xml:space="preserve">across operating systems and devices.</w:t>
      </w:r>
    </w:p>
    <w:bookmarkEnd w:id="17"/>
    <w:bookmarkStart w:id="18" w:name="computational-footprint"/>
    <w:p>
      <w:pPr>
        <w:pStyle w:val="Heading2"/>
      </w:pPr>
      <w:r>
        <w:t xml:space="preserve">Computational footprint</w:t>
      </w:r>
    </w:p>
    <w:p>
      <w:pPr>
        <w:pStyle w:val="FirstParagraph"/>
      </w:pPr>
      <w:r>
        <w:t xml:space="preserve">Because Empiria runs entirely in the browser, its only requirement is a current</w:t>
      </w:r>
      <w:r>
        <w:t xml:space="preserve"> </w:t>
      </w:r>
      <w:r>
        <w:t xml:space="preserve">browser: there is no server, and after the initial download—a single static</w:t>
      </w:r>
      <w:r>
        <w:t xml:space="preserve"> </w:t>
      </w:r>
      <w:r>
        <w:t xml:space="preserve">bundle of roughly 0.4 MB (about 130 KB gzipped)—it runs offline. The numerical</w:t>
      </w:r>
      <w:r>
        <w:t xml:space="preserve"> </w:t>
      </w:r>
      <w:r>
        <w:t xml:space="preserve">workload is light. On a contemporary laptop (Apple M4, single-threaded) the</w:t>
      </w:r>
      <w:r>
        <w:t xml:space="preserve"> </w:t>
      </w:r>
      <w:r>
        <w:t xml:space="preserve">engine sustains on the order of 2.6 million ticks per second for a typical</w:t>
      </w:r>
      <w:r>
        <w:t xml:space="preserve"> </w:t>
      </w:r>
      <w:r>
        <w:t xml:space="preserve">few-node patch and tens of thousands per second for a busy canvas of around</w:t>
      </w:r>
      <w:r>
        <w:t xml:space="preserve"> </w:t>
      </w:r>
      <w:r>
        <w:t xml:space="preserve">sixty nodes, with memory in the tens of megabytes; the per-node cost is well</w:t>
      </w:r>
      <w:r>
        <w:t xml:space="preserve"> </w:t>
      </w:r>
      <w:r>
        <w:t xml:space="preserve">under a microsecond and grows linearly with the number of nodes. Because the</w:t>
      </w:r>
      <w:r>
        <w:t xml:space="preserve"> </w:t>
      </w:r>
      <w:r>
        <w:t xml:space="preserve">interactive clock is capped at a few thousand ticks per second, the on-screen</w:t>
      </w:r>
      <w:r>
        <w:t xml:space="preserve"> </w:t>
      </w:r>
      <w:r>
        <w:t xml:space="preserve">frame rate—not the arithmetic—is the limiting factor, which leaves ample</w:t>
      </w:r>
      <w:r>
        <w:t xml:space="preserve"> </w:t>
      </w:r>
      <w:r>
        <w:t xml:space="preserve">headroom on the low-power hardware (Chromebooks, tablets) typical of</w:t>
      </w:r>
      <w:r>
        <w:t xml:space="preserve"> </w:t>
      </w:r>
      <w:r>
        <w:t xml:space="preserve">classrooms. The benchmark is a short script in the repository, so these figures</w:t>
      </w:r>
      <w:r>
        <w:t xml:space="preserve"> </w:t>
      </w:r>
      <w:r>
        <w:t xml:space="preserve">can be reproduced and checked on any machine.</w:t>
      </w:r>
    </w:p>
    <w:bookmarkEnd w:id="18"/>
    <w:bookmarkStart w:id="19" w:name="the-module-library"/>
    <w:p>
      <w:pPr>
        <w:pStyle w:val="Heading2"/>
      </w:pPr>
      <w:r>
        <w:t xml:space="preserve">The module library</w:t>
      </w:r>
    </w:p>
    <w:p>
      <w:pPr>
        <w:pStyle w:val="FirstParagraph"/>
      </w:pPr>
      <w:r>
        <w:t xml:space="preserve">The modules are organized on the palette into five families (Table 1). Sources</w:t>
      </w:r>
      <w:r>
        <w:t xml:space="preserve"> </w:t>
      </w:r>
      <w:r>
        <w:t xml:space="preserve">generate or import data; transforms reshape a signal; statistics estimate,</w:t>
      </w:r>
      <w:r>
        <w:t xml:space="preserve"> </w:t>
      </w:r>
      <w:r>
        <w:t xml:space="preserve">test, or summarize; displays render a signal; and an annotation node lets the</w:t>
      </w:r>
      <w:r>
        <w:t xml:space="preserve"> </w:t>
      </w:r>
      <w:r>
        <w:t xml:space="preserve">instructor leave explanatory text that travels with the patch.</w:t>
      </w:r>
    </w:p>
    <w:p>
      <w:pPr>
        <w:pStyle w:val="BodyText"/>
      </w:pPr>
      <w:r>
        <w:t xml:space="preserve">Table 1.</w:t>
      </w:r>
      <w:r>
        <w:t xml:space="preserve"> </w:t>
      </w:r>
      <w:r>
        <w:rPr>
          <w:i/>
          <w:iCs/>
        </w:rPr>
        <w:t xml:space="preserve">The Empiria module library.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Seed (master seed), Sample (parametric distribution with real-world presets), Data (CSV import)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Mix (mixtures), Transform (</w:t>
            </w:r>
            <w:r>
              <w:rPr>
                <w:rStyle w:val="VerbatimChar"/>
              </w:rPr>
              <w:t xml:space="preserve">y = a·f(x)+b</w:t>
            </w:r>
            <w:r>
              <w:t xml:space="preserve">), Noise (measurement error), Code (continuous → ordinal/Likert)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Frame (mean/SD/SE), Summary (descriptives), Test (one/two-sample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), Tab (χ² and Cramér’s V), Boot (BCa bootstrap), Regress (OLS), Means (sampling distribution of the mean), Power (power / Type-I error), Lag (autocorrelation), Coverage (confidence-interval coverage)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Scope (time trace), Box (box plot), ECDF, QQ (normal quantile–quantile), Gauge (units readout)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Annotate</w:t>
            </w:r>
          </w:p>
        </w:tc>
        <w:tc>
          <w:tcPr/>
          <w:p>
            <w:pPr>
              <w:pStyle w:val="Compact"/>
            </w:pPr>
            <w:r>
              <w:t xml:space="preserve">Note (editable, saved with the patch)</w:t>
            </w:r>
          </w:p>
        </w:tc>
      </w:tr>
    </w:tbl>
    <w:p>
      <w:pPr>
        <w:pStyle w:val="BodyText"/>
      </w:pPr>
      <w:r>
        <w:t xml:space="preserve">Each statistic ships with a visualization designed for the concept it</w:t>
      </w:r>
      <w:r>
        <w:t xml:space="preserve"> </w:t>
      </w:r>
      <w:r>
        <w:t xml:space="preserve">represents: a histogram with a confidence band, a scatterplot with a fitted</w:t>
      </w:r>
      <w:r>
        <w:t xml:space="preserve"> </w:t>
      </w:r>
      <w:r>
        <w:t xml:space="preserve">line and prediction band, a null</w:t>
      </w:r>
      <w:r>
        <w:t xml:space="preserve"> </w:t>
      </w:r>
      <w:r>
        <w:rPr>
          <w:i/>
          <w:iCs/>
        </w:rPr>
        <w:t xml:space="preserve">t</w:t>
      </w:r>
      <w:r>
        <w:t xml:space="preserve">-distribution with shaded rejection regions</w:t>
      </w:r>
      <w:r>
        <w:t xml:space="preserve"> </w:t>
      </w:r>
      <w:r>
        <w:t xml:space="preserve">and the normal approximation overlaid for contrast, a bootstrap distribution</w:t>
      </w:r>
      <w:r>
        <w:t xml:space="preserve"> </w:t>
      </w:r>
      <w:r>
        <w:t xml:space="preserve">annotated with its bias-correction diagnostics, and a confidence-interval</w:t>
      </w:r>
      <w:r>
        <w:t xml:space="preserve"> </w:t>
      </w:r>
      <w:r>
        <w:t xml:space="preserve">“coverage”</w:t>
      </w:r>
      <w:r>
        <w:t xml:space="preserve"> </w:t>
      </w:r>
      <w:r>
        <w:t xml:space="preserve">display that stacks repeated intervals and colors those that miss</w:t>
      </w:r>
      <w:r>
        <w:t xml:space="preserve"> </w:t>
      </w:r>
      <w:r>
        <w:t xml:space="preserve">the true value.</w:t>
      </w:r>
    </w:p>
    <w:bookmarkEnd w:id="19"/>
    <w:bookmarkEnd w:id="20"/>
    <w:bookmarkStart w:id="27" w:name="pedagogical-rationale"/>
    <w:p>
      <w:pPr>
        <w:pStyle w:val="Heading1"/>
      </w:pPr>
      <w:r>
        <w:t xml:space="preserve">Pedagogical rationale</w:t>
      </w:r>
    </w:p>
    <w:p>
      <w:pPr>
        <w:pStyle w:val="FirstParagraph"/>
      </w:pPr>
      <w:r>
        <w:t xml:space="preserve">Empiria’s design draws on established findings from the statistics-education and</w:t>
      </w:r>
      <w:r>
        <w:t xml:space="preserve"> </w:t>
      </w:r>
      <w:r>
        <w:t xml:space="preserve">mathematical-cognition literatures, which it operationalizes through the</w:t>
      </w:r>
      <w:r>
        <w:t xml:space="preserve"> </w:t>
      </w:r>
      <w:r>
        <w:t xml:space="preserve">principles below.</w:t>
      </w:r>
    </w:p>
    <w:p>
      <w:pPr>
        <w:pStyle w:val="BodyText"/>
      </w:pPr>
      <w:r>
        <w:rPr>
          <w:b/>
          <w:bCs/>
        </w:rPr>
        <w:t xml:space="preserve">Dynamic, manipulable visualization supports the construction of sampling</w:t>
      </w:r>
      <w:r>
        <w:rPr>
          <w:b/>
          <w:bCs/>
        </w:rPr>
        <w:t xml:space="preserve"> </w:t>
      </w:r>
      <w:r>
        <w:rPr>
          <w:b/>
          <w:bCs/>
        </w:rPr>
        <w:t xml:space="preserve">intuitions.</w:t>
      </w:r>
      <w:r>
        <w:t xml:space="preserve"> </w:t>
      </w:r>
      <w:r>
        <w:t xml:space="preserve">Students who manipulate parameters and watch sampling</w:t>
      </w:r>
      <w:r>
        <w:t xml:space="preserve"> </w:t>
      </w:r>
      <w:r>
        <w:t xml:space="preserve">distributions respond in real time develop more durable inferential intuitions</w:t>
      </w:r>
      <w:r>
        <w:t xml:space="preserve"> </w:t>
      </w:r>
      <w:r>
        <w:t xml:space="preserve">than those who encounter the same material as static figures (Chance et al., 2004; delMas et al., 2007; Garfield &amp; Ben-Zvi, 2009; for a recent review, Gok &amp; Goldstone, 2024). Empiria adopts this</w:t>
      </w:r>
      <w:r>
        <w:t xml:space="preserve"> </w:t>
      </w:r>
      <w:r>
        <w:t xml:space="preserve">throughout: every parameter is a control, every estimator is a live trace, and</w:t>
      </w:r>
      <w:r>
        <w:t xml:space="preserve"> </w:t>
      </w:r>
      <w:r>
        <w:t xml:space="preserve">every confidence interval is a band that visibly widens and narrows with the</w:t>
      </w:r>
      <w:r>
        <w:t xml:space="preserve"> </w:t>
      </w:r>
      <w:r>
        <w:t xml:space="preserve">sample.</w:t>
      </w:r>
    </w:p>
    <w:p>
      <w:pPr>
        <w:pStyle w:val="BodyText"/>
      </w:pPr>
      <w:r>
        <w:rPr>
          <w:b/>
          <w:bCs/>
        </w:rPr>
        <w:t xml:space="preserve">Concrete-to-abstract sequencing scaffolds inferential thinking.</w:t>
      </w:r>
      <w:r>
        <w:t xml:space="preserve"> </w:t>
      </w:r>
      <w:r>
        <w:t xml:space="preserve">Empiria’s</w:t>
      </w:r>
      <w:r>
        <w:t xml:space="preserve"> </w:t>
      </w:r>
      <w:r>
        <w:t xml:space="preserve">patch grammar lets a procedure be</w:t>
      </w:r>
      <w:r>
        <w:t xml:space="preserve"> </w:t>
      </w:r>
      <w:r>
        <w:rPr>
          <w:i/>
          <w:iCs/>
        </w:rPr>
        <w:t xml:space="preserve">enacted</w:t>
      </w:r>
      <w:r>
        <w:t xml:space="preserve"> </w:t>
      </w:r>
      <w:r>
        <w:t xml:space="preserve">before it is</w:t>
      </w:r>
      <w:r>
        <w:t xml:space="preserve"> </w:t>
      </w:r>
      <w:r>
        <w:rPr>
          <w:i/>
          <w:iCs/>
        </w:rPr>
        <w:t xml:space="preserve">symbolized</w:t>
      </w:r>
      <w:r>
        <w:t xml:space="preserve">. A</w:t>
      </w:r>
      <w:r>
        <w:t xml:space="preserve"> </w:t>
      </w:r>
      <w:r>
        <w:t xml:space="preserve">two-sample</w:t>
      </w:r>
      <w:r>
        <w:t xml:space="preserve"> </w:t>
      </w:r>
      <w:r>
        <w:rPr>
          <w:i/>
          <w:iCs/>
        </w:rPr>
        <w:t xml:space="preserve">t</w:t>
      </w:r>
      <w:r>
        <w:t xml:space="preserve">-test is, in Empiria, a literal sequence of objects the student</w:t>
      </w:r>
      <w:r>
        <w:t xml:space="preserve"> </w:t>
      </w:r>
      <w:r>
        <w:t xml:space="preserve">wires together—two samplers, a sampling-window estimator on each branch, and a</w:t>
      </w:r>
      <w:r>
        <w:t xml:space="preserve"> </w:t>
      </w:r>
      <w:r>
        <w:t xml:space="preserve">test module that consumes both—so that when the algebraic formula is later</w:t>
      </w:r>
      <w:r>
        <w:t xml:space="preserve"> </w:t>
      </w:r>
      <w:r>
        <w:t xml:space="preserve">introduced, each symbol corresponds to a module the student has already</w:t>
      </w:r>
      <w:r>
        <w:t xml:space="preserve"> </w:t>
      </w:r>
      <w:r>
        <w:t xml:space="preserve">manipulated.</w:t>
      </w:r>
    </w:p>
    <w:p>
      <w:pPr>
        <w:pStyle w:val="BodyText"/>
      </w:pPr>
      <w:r>
        <w:rPr>
          <w:b/>
          <w:bCs/>
        </w:rPr>
        <w:t xml:space="preserve">Live notation ties manipulation to symbolic form.</w:t>
      </w:r>
      <w:r>
        <w:t xml:space="preserve"> </w:t>
      </w:r>
      <w:r>
        <w:t xml:space="preserve">A persistent difficulty</w:t>
      </w:r>
      <w:r>
        <w:t xml:space="preserve"> </w:t>
      </w:r>
      <w:r>
        <w:t xml:space="preserve">in statistics is that formulas stay inert: a student can read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(x̄ − μ₀)/(s/√n) without connecting any symbol to something they can</w:t>
      </w:r>
      <w:r>
        <w:t xml:space="preserve"> </w:t>
      </w:r>
      <w:r>
        <w:t xml:space="preserve">change. Empiria can render, beneath every node, the formula that node computes</w:t>
      </w:r>
      <w:r>
        <w:t xml:space="preserve"> </w:t>
      </w:r>
      <w:r>
        <w:t xml:space="preserve">in standard mathematical notation, written as a chained equality—the symbolic</w:t>
      </w:r>
      <w:r>
        <w:t xml:space="preserve"> </w:t>
      </w:r>
      <w:r>
        <w:t xml:space="preserve">expression, the current values substituted into it, and the result—and updated</w:t>
      </w:r>
      <w:r>
        <w:t xml:space="preserve"> </w:t>
      </w:r>
      <w:r>
        <w:t xml:space="preserve">on every tick (Figure 2). Manipulating the patch is therefore reflected</w:t>
      </w:r>
      <w:r>
        <w:t xml:space="preserve"> </w:t>
      </w:r>
      <w:r>
        <w:t xml:space="preserve">immediately in the equation: as a sample grows the student watches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shrink</w:t>
      </w:r>
      <w:r>
        <w:t xml:space="preserve"> </w:t>
      </w:r>
      <w:r>
        <w:t xml:space="preserve">and the denominator</w:t>
      </w:r>
      <w:r>
        <w:t xml:space="preserve"> </w:t>
      </w:r>
      <w:r>
        <w:rPr>
          <w:i/>
          <w:iCs/>
        </w:rPr>
        <w:t xml:space="preserve">s</w:t>
      </w:r>
      <w:r>
        <w:t xml:space="preserve">/√</w:t>
      </w:r>
      <w:r>
        <w:rPr>
          <w:i/>
          <w:iCs/>
        </w:rPr>
        <w:t xml:space="preserve">n</w:t>
      </w:r>
      <w:r>
        <w:t xml:space="preserve"> </w:t>
      </w:r>
      <w:r>
        <w:t xml:space="preserve">shrink with it; widening the gap x̄ − μ₀ drives the</w:t>
      </w:r>
      <w:r>
        <w:t xml:space="preserve"> </w:t>
      </w:r>
      <w:r>
        <w:rPr>
          <w:i/>
          <w:iCs/>
        </w:rPr>
        <w:t xml:space="preserve">t</w:t>
      </w:r>
      <w:r>
        <w:t xml:space="preserve">-statistic up; a Transform node shows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= 2·</w:t>
      </w:r>
      <w:r>
        <w:rPr>
          <w:i/>
          <w:iCs/>
        </w:rPr>
        <w:t xml:space="preserve">x</w:t>
      </w:r>
      <w:r>
        <w:t xml:space="preserve"> </w:t>
      </w:r>
      <w:r>
        <w:t xml:space="preserve">+ 1 evaluating a specific</w:t>
      </w:r>
      <w:r>
        <w:t xml:space="preserve"> </w:t>
      </w:r>
      <w:r>
        <w:t xml:space="preserve">input to a specific output beside the scatter it produces. The same patch can</w:t>
      </w:r>
      <w:r>
        <w:t xml:space="preserve"> </w:t>
      </w:r>
      <w:r>
        <w:t xml:space="preserve">thus be read two ways at once—picture-first for intuition and notation-first for</w:t>
      </w:r>
      <w:r>
        <w:t xml:space="preserve"> </w:t>
      </w:r>
      <w:r>
        <w:t xml:space="preserve">formalism—so the symbolic layer becomes a manipulable object rather than a</w:t>
      </w:r>
      <w:r>
        <w:t xml:space="preserve"> </w:t>
      </w:r>
      <w:r>
        <w:t xml:space="preserve">static artifact, which directly addresses the symbol-grounding gap the</w:t>
      </w:r>
      <w:r>
        <w:t xml:space="preserve"> </w:t>
      </w:r>
      <w:r>
        <w:t xml:space="preserve">concrete-to-abstract literature identifies. Because the notation is rendered</w:t>
      </w:r>
      <w:r>
        <w:t xml:space="preserve"> </w:t>
      </w:r>
      <w:r>
        <w:t xml:space="preserve">with the browser’s native MathML, the feature adds no dependency and no</w:t>
      </w:r>
      <w:r>
        <w:t xml:space="preserve"> </w:t>
      </w:r>
      <w:r>
        <w:t xml:space="preserve">meaningful weight.</w:t>
      </w:r>
    </w:p>
    <w:p>
      <w:pPr>
        <w:pStyle w:val="BodyText"/>
      </w:pPr>
      <w:r>
        <w:drawing>
          <wp:inline>
            <wp:extent cx="5334000" cy="3294529"/>
            <wp:effectExtent b="0" l="0" r="0" t="0"/>
            <wp:docPr descr="The live-notation view: each node’s formula with current values substituted" title="" id="22" name="Picture"/>
            <a:graphic>
              <a:graphicData uri="http://schemas.openxmlformats.org/drawingml/2006/picture">
                <pic:pic>
                  <pic:nvPicPr>
                    <pic:cNvPr descr="submission/figures/formula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The live-notation view (toggled on). Beneath each node, the</w:t>
      </w:r>
      <w:r>
        <w:t xml:space="preserve"> </w:t>
      </w:r>
      <w:r>
        <w:t xml:space="preserve">formula it computes is rendered in standard notation with the current values</w:t>
      </w:r>
      <w:r>
        <w:t xml:space="preserve"> </w:t>
      </w:r>
      <w:r>
        <w:t xml:space="preserve">substituted in: the Sample node shows its data-generating distribution and</w:t>
      </w:r>
      <w:r>
        <w:t xml:space="preserve"> </w:t>
      </w:r>
      <w:r>
        <w:t xml:space="preserve">running estimates, the Transform node shows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= 2·</w:t>
      </w:r>
      <w:r>
        <w:rPr>
          <w:i/>
          <w:iCs/>
        </w:rPr>
        <w:t xml:space="preserve">x</w:t>
      </w:r>
      <w:r>
        <w:t xml:space="preserve"> </w:t>
      </w:r>
      <w:r>
        <w:t xml:space="preserve">+ 1 evaluated at a</w:t>
      </w:r>
      <w:r>
        <w:t xml:space="preserve"> </w:t>
      </w:r>
      <w:r>
        <w:t xml:space="preserve">specific input, the Noise node shows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+ ε with ε ∼ N(0, σ²), and the</w:t>
      </w:r>
      <w:r>
        <w:t xml:space="preserve"> </w:t>
      </w:r>
      <w:r>
        <w:t xml:space="preserve">Regress node reports the recovered ŷ = a + b·x and R². As the user changes a</w:t>
      </w:r>
      <w:r>
        <w:t xml:space="preserve"> </w:t>
      </w:r>
      <w:r>
        <w:t xml:space="preserve">parameter or rewires the graph, every equation updates on the next tick.</w:t>
      </w:r>
    </w:p>
    <w:p>
      <w:pPr>
        <w:pStyle w:val="BodyText"/>
      </w:pPr>
      <w:r>
        <w:rPr>
          <w:b/>
          <w:bCs/>
        </w:rPr>
        <w:t xml:space="preserve">Composition makes the inferential workflow visible.</w:t>
      </w:r>
      <w:r>
        <w:t xml:space="preserve"> </w:t>
      </w:r>
      <w:r>
        <w:t xml:space="preserve">Because the output of</w:t>
      </w:r>
      <w:r>
        <w:t xml:space="preserve"> </w:t>
      </w:r>
      <w:r>
        <w:t xml:space="preserve">any module is routable into any other, the data-generating process → sampling →</w:t>
      </w:r>
      <w:r>
        <w:t xml:space="preserve"> </w:t>
      </w:r>
      <w:r>
        <w:t xml:space="preserve">estimation → inference → diagnostics pipeline is a single wired chain rather</w:t>
      </w:r>
      <w:r>
        <w:t xml:space="preserve"> </w:t>
      </w:r>
      <w:r>
        <w:t xml:space="preserve">than a sequence of disconnected applets. This directly targets the structure</w:t>
      </w:r>
      <w:r>
        <w:t xml:space="preserve"> </w:t>
      </w:r>
      <w:r>
        <w:t xml:space="preserve">the reform literature identifies as the learning objective (Cobb, 2007; Tintle et al., 2015).</w:t>
      </w:r>
    </w:p>
    <w:p>
      <w:pPr>
        <w:pStyle w:val="BodyText"/>
      </w:pPr>
      <w:r>
        <w:rPr>
          <w:b/>
          <w:bCs/>
        </w:rPr>
        <w:t xml:space="preserve">Modular composition invites customization and independent exploration.</w:t>
      </w:r>
      <w:r>
        <w:t xml:space="preserve"> </w:t>
      </w:r>
      <w:r>
        <w:t xml:space="preserve">Because activities are assembled from interchangeable parts rather than</w:t>
      </w:r>
      <w:r>
        <w:t xml:space="preserve"> </w:t>
      </w:r>
      <w:r>
        <w:t xml:space="preserve">delivered as fixed applets, a student is not confined to a scripted task: a</w:t>
      </w:r>
      <w:r>
        <w:t xml:space="preserve"> </w:t>
      </w:r>
      <w:r>
        <w:t xml:space="preserve">patch can be rewired, one distribution or estimator swapped for another, a</w:t>
      </w:r>
      <w:r>
        <w:t xml:space="preserve"> </w:t>
      </w:r>
      <w:r>
        <w:t xml:space="preserve">parameter nudged so that the downstream consequences propagate visibly, or</w:t>
      </w:r>
      <w:r>
        <w:t xml:space="preserve"> </w:t>
      </w:r>
      <w:r>
        <w:t xml:space="preserve">something the instructor never specified built from scratch (Figure 3). This open-ended,</w:t>
      </w:r>
      <w:r>
        <w:t xml:space="preserve"> </w:t>
      </w:r>
      <w:r>
        <w:t xml:space="preserve">constructionist mode—understanding by building and tinkering (Papert, 1980)—is supported directly by the dataflow canvas and by the analog-computing</w:t>
      </w:r>
      <w:r>
        <w:t xml:space="preserve"> </w:t>
      </w:r>
      <w:r>
        <w:t xml:space="preserve">intuition it inherits: a model is something one assembles from manipulable</w:t>
      </w:r>
      <w:r>
        <w:t xml:space="preserve"> </w:t>
      </w:r>
      <w:r>
        <w:t xml:space="preserve">parts and operates, not a result one reads off. The visual immediacy of the</w:t>
      </w:r>
      <w:r>
        <w:t xml:space="preserve"> </w:t>
      </w:r>
      <w:r>
        <w:t xml:space="preserve">per-node displays makes such exploration legible, because a change made</w:t>
      </w:r>
      <w:r>
        <w:t xml:space="preserve"> </w:t>
      </w:r>
      <w:r>
        <w:t xml:space="preserve">anywhere is immediately visible everywhere downstream.</w:t>
      </w:r>
    </w:p>
    <w:p>
      <w:pPr>
        <w:pStyle w:val="BodyText"/>
      </w:pPr>
      <w:r>
        <w:drawing>
          <wp:inline>
            <wp:extent cx="5334000" cy="3294529"/>
            <wp:effectExtent b="0" l="0" r="0" t="0"/>
            <wp:docPr descr="Building a data-generating process from interchangeable parts" title="" id="25" name="Picture"/>
            <a:graphic>
              <a:graphicData uri="http://schemas.openxmlformats.org/drawingml/2006/picture">
                <pic:pic>
                  <pic:nvPicPr>
                    <pic:cNvPr descr="submission/figures/realfi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Building a data-generating process from interchangeable parts. A uniform predictor (Sample) is passed through a deterministic Transform (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) and a Noise module before a Regress node recovers the relationship online and reports the fitted slope and intercept. Because the model is</w:t>
      </w:r>
      <w:r>
        <w:t xml:space="preserve"> </w:t>
      </w:r>
      <w:r>
        <w:rPr>
          <w:i/>
          <w:iCs/>
        </w:rPr>
        <w:t xml:space="preserve">assembled</w:t>
      </w:r>
      <w:r>
        <w:t xml:space="preserve"> </w:t>
      </w:r>
      <w:r>
        <w:t xml:space="preserve">rather than scripted, a student can swap the transform, change the amount of noise, or rewire the graph and watch every downstream view update—the build-and-tinker, analog-computing mode of working the design is meant to invite.</w:t>
      </w:r>
    </w:p>
    <w:p>
      <w:pPr>
        <w:pStyle w:val="BodyText"/>
      </w:pPr>
      <w:r>
        <w:t xml:space="preserve">These principles are operationalized in sixteen bundled lessons, each a</w:t>
      </w:r>
      <w:r>
        <w:t xml:space="preserve"> </w:t>
      </w:r>
      <w:r>
        <w:t xml:space="preserve">self-contained worksheet consisting of a patch plus an explanatory note, and a</w:t>
      </w:r>
      <w:r>
        <w:t xml:space="preserve"> </w:t>
      </w:r>
      <w:r>
        <w:t xml:space="preserve">four-step guided tour (Law of Large Numbers → bootstrap →</w:t>
      </w:r>
      <w:r>
        <w:t xml:space="preserve"> </w:t>
      </w:r>
      <w:r>
        <w:rPr>
          <w:i/>
          <w:iCs/>
        </w:rPr>
        <w:t xml:space="preserve">t</w:t>
      </w:r>
      <w:r>
        <w:t xml:space="preserve">-test →</w:t>
      </w:r>
      <w:r>
        <w:t xml:space="preserve"> </w:t>
      </w:r>
      <w:r>
        <w:t xml:space="preserve">confidence-interval coverage) with previous/next navigation. The same modules</w:t>
      </w:r>
      <w:r>
        <w:t xml:space="preserve"> </w:t>
      </w:r>
      <w:r>
        <w:t xml:space="preserve">serve a range of audiences: a general-education class can place a sampler and a</w:t>
      </w:r>
      <w:r>
        <w:t xml:space="preserve"> </w:t>
      </w:r>
      <w:r>
        <w:t xml:space="preserve">sampling-window estimator and watch the standard error shrink as 1/√</w:t>
      </w:r>
      <w:r>
        <w:rPr>
          <w:i/>
          <w:iCs/>
        </w:rPr>
        <w:t xml:space="preserve">n</w:t>
      </w:r>
      <w:r>
        <w:t xml:space="preserve">; an</w:t>
      </w:r>
      <w:r>
        <w:t xml:space="preserve"> </w:t>
      </w:r>
      <w:r>
        <w:t xml:space="preserve">introductory course can add regression, testing, and the bootstrap as a live</w:t>
      </w:r>
      <w:r>
        <w:t xml:space="preserve"> </w:t>
      </w:r>
      <w:r>
        <w:t xml:space="preserve">picture of the workflow students will later carry out in R; and a graduate</w:t>
      </w:r>
      <w:r>
        <w:t xml:space="preserve"> </w:t>
      </w:r>
      <w:r>
        <w:t xml:space="preserve">methods seminar can use the platform to interrogate small-sample behavior or to</w:t>
      </w:r>
      <w:r>
        <w:t xml:space="preserve"> </w:t>
      </w:r>
      <w:r>
        <w:t xml:space="preserve">compare bootstrap intervals against analytic ones. What differs across</w:t>
      </w:r>
      <w:r>
        <w:t xml:space="preserve"> </w:t>
      </w:r>
      <w:r>
        <w:t xml:space="preserve">audiences is the depth at which the underlying mathematics is examined, not the</w:t>
      </w:r>
      <w:r>
        <w:t xml:space="preserve"> </w:t>
      </w:r>
      <w:r>
        <w:t xml:space="preserve">tool.</w:t>
      </w:r>
    </w:p>
    <w:bookmarkEnd w:id="27"/>
    <w:bookmarkStart w:id="31" w:name="illustrative-classroom-use"/>
    <w:p>
      <w:pPr>
        <w:pStyle w:val="Heading1"/>
      </w:pPr>
      <w:r>
        <w:t xml:space="preserve">Illustrative classroom use</w:t>
      </w:r>
    </w:p>
    <w:p>
      <w:pPr>
        <w:pStyle w:val="FirstParagraph"/>
      </w:pPr>
      <w:r>
        <w:t xml:space="preserve">Several bundled lessons illustrate the range. A</w:t>
      </w:r>
      <w:r>
        <w:t xml:space="preserve"> </w:t>
      </w:r>
      <w:r>
        <w:rPr>
          <w:i/>
          <w:iCs/>
        </w:rPr>
        <w:t xml:space="preserve">Law of Large Numbers</w:t>
      </w:r>
      <w:r>
        <w:t xml:space="preserve"> </w:t>
      </w:r>
      <w:r>
        <w:t xml:space="preserve">activity</w:t>
      </w:r>
      <w:r>
        <w:t xml:space="preserve"> </w:t>
      </w:r>
      <w:r>
        <w:t xml:space="preserve">wires a sampler into a growing sampling window; as the clock runs, the mean</w:t>
      </w:r>
      <w:r>
        <w:t xml:space="preserve"> </w:t>
      </w:r>
      <w:r>
        <w:t xml:space="preserve">settles on the population value and the standard error contracts visibly. A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activity resamples a fixed dataset and draws the bootstrap</w:t>
      </w:r>
      <w:r>
        <w:t xml:space="preserve"> </w:t>
      </w:r>
      <w:r>
        <w:t xml:space="preserve">distribution of a statistic—making the sampling distribution explicit without a</w:t>
      </w:r>
      <w:r>
        <w:t xml:space="preserve"> </w:t>
      </w:r>
      <w:r>
        <w:t xml:space="preserve">formula—and reports a bias-corrected and accelerated interval (Efron, 1987; Hesterberg, 2015) (Figure 4). A</w:t>
      </w:r>
      <w:r>
        <w:t xml:space="preserve"> </w:t>
      </w:r>
      <w:r>
        <w:rPr>
          <w:i/>
          <w:iCs/>
        </w:rPr>
        <w:t xml:space="preserve">small-sample t-test</w:t>
      </w:r>
      <w:r>
        <w:t xml:space="preserve"> </w:t>
      </w:r>
      <w:r>
        <w:t xml:space="preserve">activity overlays the exact Student-</w:t>
      </w:r>
      <w:r>
        <w:rPr>
          <w:i/>
          <w:iCs/>
        </w:rPr>
        <w:t xml:space="preserve">t</w:t>
      </w:r>
      <w:r>
        <w:t xml:space="preserve"> </w:t>
      </w:r>
      <w:r>
        <w:t xml:space="preserve">null distribution</w:t>
      </w:r>
      <w:r>
        <w:t xml:space="preserve"> </w:t>
      </w:r>
      <w:r>
        <w:t xml:space="preserve">against the normal approximation, so that students see the normal mislead at</w:t>
      </w:r>
      <w:r>
        <w:t xml:space="preserve"> </w:t>
      </w:r>
      <w:r>
        <w:t xml:space="preserve">low degrees of freedom and watch the reject/retain decision flip from sample to</w:t>
      </w:r>
      <w:r>
        <w:t xml:space="preserve"> </w:t>
      </w:r>
      <w:r>
        <w:t xml:space="preserve">sample. A</w:t>
      </w:r>
      <w:r>
        <w:t xml:space="preserve"> </w:t>
      </w:r>
      <w:r>
        <w:rPr>
          <w:i/>
          <w:iCs/>
        </w:rPr>
        <w:t xml:space="preserve">confidence-interval coverage</w:t>
      </w:r>
      <w:r>
        <w:t xml:space="preserve"> </w:t>
      </w:r>
      <w:r>
        <w:t xml:space="preserve">activity repeats the whole experiment</w:t>
      </w:r>
      <w:r>
        <w:t xml:space="preserve"> </w:t>
      </w:r>
      <w:r>
        <w:t xml:space="preserve">and tallies how often the interval covers the true mean, giving an operational</w:t>
      </w:r>
      <w:r>
        <w:t xml:space="preserve"> </w:t>
      </w:r>
      <w:r>
        <w:t xml:space="preserve">meaning to</w:t>
      </w:r>
      <w:r>
        <w:t xml:space="preserve"> </w:t>
      </w:r>
      <w:r>
        <w:t xml:space="preserve">“95% confidence.”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central-limit</w:t>
      </w:r>
      <w:r>
        <w:t xml:space="preserve"> </w:t>
      </w:r>
      <w:r>
        <w:t xml:space="preserve">activity shows that the means of</w:t>
      </w:r>
      <w:r>
        <w:t xml:space="preserve"> </w:t>
      </w:r>
      <w:r>
        <w:t xml:space="preserve">batches drawn from a skewed population are themselves approximately normal. An</w:t>
      </w:r>
      <w:r>
        <w:t xml:space="preserve"> </w:t>
      </w:r>
      <w:r>
        <w:rPr>
          <w:i/>
          <w:iCs/>
        </w:rPr>
        <w:t xml:space="preserve">exploratory-data-analysis</w:t>
      </w:r>
      <w:r>
        <w:t xml:space="preserve"> </w:t>
      </w:r>
      <w:r>
        <w:t xml:space="preserve">activity fans one imported dataset into a summary</w:t>
      </w:r>
      <w:r>
        <w:t xml:space="preserve"> </w:t>
      </w:r>
      <w:r>
        <w:t xml:space="preserve">table, a box plot, an empirical CDF, and a normal quantile–quantile plot, so</w:t>
      </w:r>
      <w:r>
        <w:t xml:space="preserve"> </w:t>
      </w:r>
      <w:r>
        <w:t xml:space="preserve">that the same data are seen four ways at once. In each case the patch is</w:t>
      </w:r>
      <w:r>
        <w:t xml:space="preserve"> </w:t>
      </w:r>
      <w:r>
        <w:t xml:space="preserve">seeded, so an instructor can distribute it, have students run it, and be</w:t>
      </w:r>
      <w:r>
        <w:t xml:space="preserve"> </w:t>
      </w:r>
      <w:r>
        <w:t xml:space="preserve">confident that every result reproduces.</w:t>
      </w:r>
    </w:p>
    <w:p>
      <w:pPr>
        <w:pStyle w:val="BodyText"/>
      </w:pPr>
      <w:r>
        <w:drawing>
          <wp:inline>
            <wp:extent cx="5334000" cy="3294529"/>
            <wp:effectExtent b="0" l="0" r="0" t="0"/>
            <wp:docPr descr="Simulation made visible: a bootstrap sampling distribution" title="" id="29" name="Picture"/>
            <a:graphic>
              <a:graphicData uri="http://schemas.openxmlformats.org/drawingml/2006/picture">
                <pic:pic>
                  <pic:nvPicPr>
                    <pic:cNvPr descr="submission/figures/bootstra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Simulation made visible. A sample drawn from a skewed (exponential) parent is resampled with replacement by the Boot module, whose histogram (magenta) is the bootstrap sampling distribution of the mean, annotated with a bias-corrected and accelerated interval. The sampling distribution is</w:t>
      </w:r>
      <w:r>
        <w:t xml:space="preserve"> </w:t>
      </w:r>
      <w:r>
        <w:rPr>
          <w:i/>
          <w:iCs/>
        </w:rPr>
        <w:t xml:space="preserve">constructed</w:t>
      </w:r>
      <w:r>
        <w:t xml:space="preserve"> </w:t>
      </w:r>
      <w:r>
        <w:t xml:space="preserve">empirically and watched as it forms, before any closed-form expression is introduced.</w:t>
      </w:r>
    </w:p>
    <w:bookmarkEnd w:id="31"/>
    <w:bookmarkStart w:id="34" w:name="X0cab4394ba209c841fd4138ca62600fdd5bff89"/>
    <w:p>
      <w:pPr>
        <w:pStyle w:val="Heading1"/>
      </w:pPr>
      <w:r>
        <w:t xml:space="preserve">Numerical correctness and reproducibility</w:t>
      </w:r>
    </w:p>
    <w:bookmarkStart w:id="32" w:name="verifying-the-numerics"/>
    <w:p>
      <w:pPr>
        <w:pStyle w:val="Heading2"/>
      </w:pPr>
      <w:r>
        <w:t xml:space="preserve">Verifying the numerics</w:t>
      </w:r>
    </w:p>
    <w:p>
      <w:pPr>
        <w:pStyle w:val="FirstParagraph"/>
      </w:pPr>
      <w:r>
        <w:t xml:space="preserve">Because the pedagogy depends on the displayed numbers being correct rather than</w:t>
      </w:r>
      <w:r>
        <w:t xml:space="preserve"> </w:t>
      </w:r>
      <w:r>
        <w:t xml:space="preserve">merely plausible, Empiria treats verification as part of the artifact. Where</w:t>
      </w:r>
      <w:r>
        <w:t xml:space="preserve"> </w:t>
      </w:r>
      <w:r>
        <w:t xml:space="preserve">introductory tooling has often relied on normal-theory approximations, Empiria</w:t>
      </w:r>
      <w:r>
        <w:t xml:space="preserve"> </w:t>
      </w:r>
      <w:r>
        <w:t xml:space="preserve">computes closed-form quantities with their exact numerical recipes: the</w:t>
      </w:r>
      <w:r>
        <w:t xml:space="preserve"> </w:t>
      </w:r>
      <w:r>
        <w:t xml:space="preserve">two-tailed Student-</w:t>
      </w:r>
      <w:r>
        <w:rPr>
          <w:i/>
          <w:iCs/>
        </w:rPr>
        <w:t xml:space="preserve">t</w:t>
      </w:r>
      <w:r>
        <w:t xml:space="preserve"> </w:t>
      </w:r>
      <w:r>
        <w:t xml:space="preserve">and χ² tail probabilities are evaluated through the</w:t>
      </w:r>
      <w:r>
        <w:t xml:space="preserve"> </w:t>
      </w:r>
      <w:r>
        <w:t xml:space="preserve">regularized incomplete beta and gamma functions using continued-fraction</w:t>
      </w:r>
      <w:r>
        <w:t xml:space="preserve"> </w:t>
      </w:r>
      <w:r>
        <w:t xml:space="preserve">expansions (Press et al., 2007); confidence-interval critical values use the</w:t>
      </w:r>
      <w:r>
        <w:t xml:space="preserve"> </w:t>
      </w:r>
      <w:r>
        <w:t xml:space="preserve">exact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quantile rather than the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≈ 1.96 approximation; and bootstrap</w:t>
      </w:r>
      <w:r>
        <w:t xml:space="preserve"> </w:t>
      </w:r>
      <w:r>
        <w:t xml:space="preserve">intervals are bias-corrected and accelerated (Efron, 1987).</w:t>
      </w:r>
    </w:p>
    <w:p>
      <w:pPr>
        <w:pStyle w:val="BodyText"/>
      </w:pPr>
      <w:r>
        <w:t xml:space="preserve">These routines are checked by an automated test suite that compares each result</w:t>
      </w:r>
      <w:r>
        <w:t xml:space="preserve"> </w:t>
      </w:r>
      <w:r>
        <w:t xml:space="preserve">against R to machine precision—covering the incomplete beta and gamma</w:t>
      </w:r>
      <w:r>
        <w:t xml:space="preserve"> </w:t>
      </w:r>
      <w:r>
        <w:t xml:space="preserve">functions, Student-</w:t>
      </w:r>
      <w:r>
        <w:rPr>
          <w:i/>
          <w:iCs/>
        </w:rPr>
        <w:t xml:space="preserve">t</w:t>
      </w:r>
      <w:r>
        <w:t xml:space="preserve"> </w:t>
      </w:r>
      <w:r>
        <w:t xml:space="preserve">probabilities and critical values, the normal CDF and</w:t>
      </w:r>
      <w:r>
        <w:t xml:space="preserve"> </w:t>
      </w:r>
      <w:r>
        <w:t xml:space="preserve">quantile, one-sample and Welch two-sample</w:t>
      </w:r>
      <w:r>
        <w:t xml:space="preserve"> </w:t>
      </w:r>
      <w:r>
        <w:rPr>
          <w:i/>
          <w:iCs/>
        </w:rPr>
        <w:t xml:space="preserve">t</w:t>
      </w:r>
      <w:r>
        <w:t xml:space="preserve">-tests, ordinary least squares,</w:t>
      </w:r>
      <w:r>
        <w:t xml:space="preserve"> </w:t>
      </w:r>
      <w:r>
        <w:t xml:space="preserve">the contingency-table χ² and Cramér’s V, autocorrelation, and the descriptive</w:t>
      </w:r>
      <w:r>
        <w:t xml:space="preserve"> </w:t>
      </w:r>
      <w:r>
        <w:t xml:space="preserve">moments—and against the canonical Mersenne-Twister test vector for the</w:t>
      </w:r>
      <w:r>
        <w:t xml:space="preserve"> </w:t>
      </w:r>
      <w:r>
        <w:t xml:space="preserve">generator. The suite also verifies system-level properties: byte-identical</w:t>
      </w:r>
      <w:r>
        <w:t xml:space="preserve"> </w:t>
      </w:r>
      <w:r>
        <w:t xml:space="preserve">reproduction under a fixed seed, the contraction of the standard error under</w:t>
      </w:r>
      <w:r>
        <w:t xml:space="preserve"> </w:t>
      </w:r>
      <w:r>
        <w:t xml:space="preserve">the Law of Large Numbers, approximately nominal (95%) confidence-interval</w:t>
      </w:r>
      <w:r>
        <w:t xml:space="preserve"> </w:t>
      </w:r>
      <w:r>
        <w:t xml:space="preserve">coverage, and a Type-I error rate near α under the null. An accompanying R</w:t>
      </w:r>
      <w:r>
        <w:t xml:space="preserve"> </w:t>
      </w:r>
      <w:r>
        <w:t xml:space="preserve">script regenerates every reference value independently, so a reviewer can</w:t>
      </w:r>
      <w:r>
        <w:t xml:space="preserve"> </w:t>
      </w:r>
      <w:r>
        <w:t xml:space="preserve">confirm the reference values themselves rather than only the tool’s</w:t>
      </w:r>
      <w:r>
        <w:t xml:space="preserve"> </w:t>
      </w:r>
      <w:r>
        <w:t xml:space="preserve">self-consistency, and a verification document maps each routine to its</w:t>
      </w:r>
      <w:r>
        <w:t xml:space="preserve"> </w:t>
      </w:r>
      <w:r>
        <w:t xml:space="preserve">algorithm, citation, reference command, and test. Finally, because a patch is</w:t>
      </w:r>
      <w:r>
        <w:t xml:space="preserve"> </w:t>
      </w:r>
      <w:r>
        <w:t xml:space="preserve">seeded JSON, a student can export any node’s data to CSV and reproduce the</w:t>
      </w:r>
      <w:r>
        <w:t xml:space="preserve"> </w:t>
      </w:r>
      <w:r>
        <w:t xml:space="preserve">statistic in R as an external check; the same patch and seed yield an identical</w:t>
      </w:r>
      <w:r>
        <w:t xml:space="preserve"> </w:t>
      </w:r>
      <w:r>
        <w:t xml:space="preserve">export on any machine.</w:t>
      </w:r>
    </w:p>
    <w:bookmarkEnd w:id="32"/>
    <w:bookmarkStart w:id="33" w:name="development-with-ai-coding-assistance"/>
    <w:p>
      <w:pPr>
        <w:pStyle w:val="Heading2"/>
      </w:pPr>
      <w:r>
        <w:t xml:space="preserve">Development with AI coding assistance</w:t>
      </w:r>
    </w:p>
    <w:p>
      <w:pPr>
        <w:pStyle w:val="FirstParagraph"/>
      </w:pPr>
      <w:r>
        <w:t xml:space="preserve">Empiria’s implementation was carried out with the help of AI coding assistants</w:t>
      </w:r>
      <w:r>
        <w:t xml:space="preserve"> </w:t>
      </w:r>
      <w:r>
        <w:t xml:space="preserve">(large language models used as programming aids). We disclose this as a matter</w:t>
      </w:r>
      <w:r>
        <w:t xml:space="preserve"> </w:t>
      </w:r>
      <w:r>
        <w:t xml:space="preserve">of scholarly practice, and because it bears on a legitimate concern: software</w:t>
      </w:r>
      <w:r>
        <w:t xml:space="preserve"> </w:t>
      </w:r>
      <w:r>
        <w:t xml:space="preserve">produced with substantial machine assistance may contain plausible-looking but</w:t>
      </w:r>
      <w:r>
        <w:t xml:space="preserve"> </w:t>
      </w:r>
      <w:r>
        <w:t xml:space="preserve">incorrect numerical behavior, and a reader is right to ask whether the</w:t>
      </w:r>
      <w:r>
        <w:t xml:space="preserve"> </w:t>
      </w:r>
      <w:r>
        <w:t xml:space="preserve">displayed statistics can be trusted. The answer here is methodological rather</w:t>
      </w:r>
      <w:r>
        <w:t xml:space="preserve"> </w:t>
      </w:r>
      <w:r>
        <w:t xml:space="preserve">than rhetorical. The trustworthiness of Empiria’s outputs does not rest on the</w:t>
      </w:r>
      <w:r>
        <w:t xml:space="preserve"> </w:t>
      </w:r>
      <w:r>
        <w:t xml:space="preserve">provenance of the code that produces them; it rests on an external verification</w:t>
      </w:r>
      <w:r>
        <w:t xml:space="preserve"> </w:t>
      </w:r>
      <w:r>
        <w:t xml:space="preserve">regime that is independent of how the code was written.</w:t>
      </w:r>
    </w:p>
    <w:p>
      <w:pPr>
        <w:pStyle w:val="BodyText"/>
      </w:pPr>
      <w:r>
        <w:t xml:space="preserve">Concretely, every numerical routine is checked against an authoritative</w:t>
      </w:r>
      <w:r>
        <w:t xml:space="preserve"> </w:t>
      </w:r>
      <w:r>
        <w:t xml:space="preserve">reference implementation—R’s statistical functions (</w:t>
      </w:r>
      <w:r>
        <w:rPr>
          <w:rStyle w:val="VerbatimChar"/>
        </w:rPr>
        <w:t xml:space="preserve">pt</w:t>
      </w:r>
      <w:r>
        <w:t xml:space="preserve">,</w:t>
      </w:r>
      <w:r>
        <w:t xml:space="preserve"> </w:t>
      </w:r>
      <w:r>
        <w:rPr>
          <w:rStyle w:val="VerbatimChar"/>
        </w:rPr>
        <w:t xml:space="preserve">qt</w:t>
      </w:r>
      <w:r>
        <w:t xml:space="preserve">,</w:t>
      </w:r>
      <w:r>
        <w:t xml:space="preserve"> </w:t>
      </w:r>
      <w:r>
        <w:rPr>
          <w:rStyle w:val="VerbatimChar"/>
        </w:rPr>
        <w:t xml:space="preserve">pchisq</w:t>
      </w:r>
      <w:r>
        <w:t xml:space="preserve">,</w:t>
      </w:r>
      <w:r>
        <w:t xml:space="preserve"> </w:t>
      </w:r>
      <w:r>
        <w:rPr>
          <w:rStyle w:val="VerbatimChar"/>
        </w:rPr>
        <w:t xml:space="preserve">pnorm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qnorm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t.test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lm</w:t>
      </w:r>
      <w:r>
        <w:t xml:space="preserve">,</w:t>
      </w:r>
      <w:r>
        <w:t xml:space="preserve"> </w:t>
      </w:r>
      <w:r>
        <w:rPr>
          <w:rStyle w:val="VerbatimChar"/>
        </w:rPr>
        <w:t xml:space="preserve">chisq.test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acf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quantile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 for the BCa interval, and the canonical Mersenne-Twister test</w:t>
      </w:r>
      <w:r>
        <w:t xml:space="preserve"> </w:t>
      </w:r>
      <w:r>
        <w:t xml:space="preserve">vector—to machine precision, with Monte-Carlo tolerances stated explicitly</w:t>
      </w:r>
      <w:r>
        <w:t xml:space="preserve"> </w:t>
      </w:r>
      <w:r>
        <w:t xml:space="preserve">where resampling is involved. Those reference values are produced by an</w:t>
      </w:r>
      <w:r>
        <w:t xml:space="preserve"> </w:t>
      </w:r>
      <w:r>
        <w:t xml:space="preserve">independent R script that a reviewer can rerun and compare against the literals</w:t>
      </w:r>
      <w:r>
        <w:t xml:space="preserve"> </w:t>
      </w:r>
      <w:r>
        <w:t xml:space="preserve">asserted in the test suite, so the check confirms the reference values</w:t>
      </w:r>
      <w:r>
        <w:t xml:space="preserve"> </w:t>
      </w:r>
      <w:r>
        <w:t xml:space="preserve">themselves rather than only the tool’s internal self-consistency. A test that</w:t>
      </w:r>
      <w:r>
        <w:t xml:space="preserve"> </w:t>
      </w:r>
      <w:r>
        <w:t xml:space="preserve">compares to R cannot be satisfied by code that is merely persuasive: it passes</w:t>
      </w:r>
      <w:r>
        <w:t xml:space="preserve"> </w:t>
      </w:r>
      <w:r>
        <w:t xml:space="preserve">only if the number is right, whoever or whatever wrote the code.</w:t>
      </w:r>
    </w:p>
    <w:p>
      <w:pPr>
        <w:pStyle w:val="BodyText"/>
      </w:pPr>
      <w:r>
        <w:t xml:space="preserve">We also separate authorship from correctness. The statistical methods, the</w:t>
      </w:r>
      <w:r>
        <w:t xml:space="preserve"> </w:t>
      </w:r>
      <w:r>
        <w:t xml:space="preserve">choice of exact recipes over normal-theory approximations, the pedagogical</w:t>
      </w:r>
      <w:r>
        <w:t xml:space="preserve"> </w:t>
      </w:r>
      <w:r>
        <w:t xml:space="preserve">claims, and the interpretation of every result were specified, reviewed, and</w:t>
      </w:r>
      <w:r>
        <w:t xml:space="preserve"> </w:t>
      </w:r>
      <w:r>
        <w:t xml:space="preserve">are vouched for by the author; the AI tools accelerated implementation, they did</w:t>
      </w:r>
      <w:r>
        <w:t xml:space="preserve"> </w:t>
      </w:r>
      <w:r>
        <w:t xml:space="preserve">not make statistical decisions, and the author takes full responsibility for</w:t>
      </w:r>
      <w:r>
        <w:t xml:space="preserve"> </w:t>
      </w:r>
      <w:r>
        <w:t xml:space="preserve">the software and the manuscript. Because the full audit trail maps each routine</w:t>
      </w:r>
      <w:r>
        <w:t xml:space="preserve"> </w:t>
      </w:r>
      <w:r>
        <w:t xml:space="preserve">to its algorithm, citation, reference command, and test, and because the entire</w:t>
      </w:r>
      <w:r>
        <w:t xml:space="preserve"> </w:t>
      </w:r>
      <w:r>
        <w:t xml:space="preserve">suite runs from three commands, any reviewer can reproduce the verification in</w:t>
      </w:r>
      <w:r>
        <w:t xml:space="preserve"> </w:t>
      </w:r>
      <w:r>
        <w:t xml:space="preserve">minutes rather than taking our word for it.</w:t>
      </w:r>
    </w:p>
    <w:bookmarkEnd w:id="33"/>
    <w:bookmarkEnd w:id="34"/>
    <w:bookmarkStart w:id="36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Empiria is released under the GPL-3.0 license and runs in any modern browser</w:t>
      </w:r>
      <w:r>
        <w:t xml:space="preserve"> </w:t>
      </w:r>
      <w:r>
        <w:t xml:space="preserve">with no installation. The live application is at</w:t>
      </w:r>
      <w:r>
        <w:t xml:space="preserve"> </w:t>
      </w:r>
      <w:hyperlink r:id="rId9">
        <w:r>
          <w:rPr>
            <w:rStyle w:val="Hyperlink"/>
          </w:rPr>
          <w:t xml:space="preserve">https://kevinschoenholzer.com/empiria/</w:t>
        </w:r>
      </w:hyperlink>
      <w:r>
        <w:t xml:space="preserve">; the source code, the automated test</w:t>
      </w:r>
      <w:r>
        <w:t xml:space="preserve"> </w:t>
      </w:r>
      <w:r>
        <w:t xml:space="preserve">suite, the verification materials, the bundled lessons, and the documentation</w:t>
      </w:r>
      <w:r>
        <w:t xml:space="preserve"> </w:t>
      </w:r>
      <w:r>
        <w:t xml:space="preserve">are in the public repository at</w:t>
      </w:r>
      <w:r>
        <w:t xml:space="preserve"> </w:t>
      </w:r>
      <w:hyperlink r:id="rId35">
        <w:r>
          <w:rPr>
            <w:rStyle w:val="Hyperlink"/>
          </w:rPr>
          <w:t xml:space="preserve">https://github.com/kevisc/empiria</w:t>
        </w:r>
      </w:hyperlink>
      <w:r>
        <w:t xml:space="preserve">. The exact</w:t>
      </w:r>
      <w:r>
        <w:t xml:space="preserve"> </w:t>
      </w:r>
      <w:r>
        <w:t xml:space="preserve">version described here is tagged in the repository, and a snapshot of that</w:t>
      </w:r>
      <w:r>
        <w:t xml:space="preserve"> </w:t>
      </w:r>
      <w:r>
        <w:t xml:space="preserve">version will be archived with a permanent DOI (Zenodo) upon acceptance, so that</w:t>
      </w:r>
      <w:r>
        <w:t xml:space="preserve"> </w:t>
      </w:r>
      <w:r>
        <w:t xml:space="preserve">the reviewed software remains citable independently of later development. The</w:t>
      </w:r>
      <w:r>
        <w:t xml:space="preserve"> </w:t>
      </w:r>
      <w:r>
        <w:t xml:space="preserve">figures in this article are screenshots of the running application; the patches</w:t>
      </w:r>
      <w:r>
        <w:t xml:space="preserve"> </w:t>
      </w:r>
      <w:r>
        <w:t xml:space="preserve">that generate them are included among the bundled lessons.</w:t>
      </w:r>
    </w:p>
    <w:bookmarkEnd w:id="36"/>
    <w:bookmarkStart w:id="37" w:name="limitations-and-future-work"/>
    <w:p>
      <w:pPr>
        <w:pStyle w:val="Heading1"/>
      </w:pPr>
      <w:r>
        <w:t xml:space="preserve">Limitations and future work</w:t>
      </w:r>
    </w:p>
    <w:p>
      <w:pPr>
        <w:pStyle w:val="FirstParagraph"/>
      </w:pPr>
      <w:r>
        <w:t xml:space="preserve">Empiria’s contribution is a design: an interaction model grounded in</w:t>
      </w:r>
      <w:r>
        <w:t xml:space="preserve"> </w:t>
      </w:r>
      <w:r>
        <w:t xml:space="preserve">established findings about manipulable visualization and simulation-based</w:t>
      </w:r>
      <w:r>
        <w:t xml:space="preserve"> </w:t>
      </w:r>
      <w:r>
        <w:t xml:space="preserve">reasoning, paired with auditable numerics and reproducible, shareable patches.</w:t>
      </w:r>
      <w:r>
        <w:t xml:space="preserve"> </w:t>
      </w:r>
      <w:r>
        <w:t xml:space="preserve">Its defining affordances are visual, analog-computing-inspired, and modular, and</w:t>
      </w:r>
      <w:r>
        <w:t xml:space="preserve"> </w:t>
      </w:r>
      <w:r>
        <w:t xml:space="preserve">they are intended to support guided activities as well as the open-ended,</w:t>
      </w:r>
      <w:r>
        <w:t xml:space="preserve"> </w:t>
      </w:r>
      <w:r>
        <w:t xml:space="preserve">learner-directed exploration in which a student customizes a patch, substitutes</w:t>
      </w:r>
      <w:r>
        <w:t xml:space="preserve"> </w:t>
      </w:r>
      <w:r>
        <w:t xml:space="preserve">one component for another, and reaches a result by building rather than by</w:t>
      </w:r>
      <w:r>
        <w:t xml:space="preserve"> </w:t>
      </w:r>
      <w:r>
        <w:t xml:space="preserve">following a script.</w:t>
      </w:r>
    </w:p>
    <w:p>
      <w:pPr>
        <w:pStyle w:val="BodyText"/>
      </w:pPr>
      <w:r>
        <w:t xml:space="preserve">We should be explicit about what this article does not establish. It offers no</w:t>
      </w:r>
      <w:r>
        <w:t xml:space="preserve"> </w:t>
      </w:r>
      <w:r>
        <w:t xml:space="preserve">evidence of learning gains from Empiria itself: the pedagogical claims above are</w:t>
      </w:r>
      <w:r>
        <w:t xml:space="preserve"> </w:t>
      </w:r>
      <w:r>
        <w:t xml:space="preserve">design rationale, grounded in prior findings about related tools, and whether</w:t>
      </w:r>
      <w:r>
        <w:t xml:space="preserve"> </w:t>
      </w:r>
      <w:r>
        <w:t xml:space="preserve">they translate into measurable outcomes is an open empirical question. Reviews</w:t>
      </w:r>
      <w:r>
        <w:t xml:space="preserve"> </w:t>
      </w:r>
      <w:r>
        <w:t xml:space="preserve">of simulation tools are a useful corrective here: interactive visualization</w:t>
      </w:r>
      <w:r>
        <w:t xml:space="preserve"> </w:t>
      </w:r>
      <w:r>
        <w:t xml:space="preserve">does not by itself guarantee understanding—students can watch a sampling</w:t>
      </w:r>
      <w:r>
        <w:t xml:space="preserve"> </w:t>
      </w:r>
      <w:r>
        <w:t xml:space="preserve">distribution narrow and still misread it as a distribution of individual</w:t>
      </w:r>
      <w:r>
        <w:t xml:space="preserve"> </w:t>
      </w:r>
      <w:r>
        <w:t xml:space="preserve">values—so the surrounding tasks and design details do much of the work (Gok &amp;</w:t>
      </w:r>
      <w:r>
        <w:t xml:space="preserve"> </w:t>
      </w:r>
      <w:r>
        <w:t xml:space="preserve">Goldstone, 2024). The affordances are available to instructors and students</w:t>
      </w:r>
      <w:r>
        <w:t xml:space="preserve"> </w:t>
      </w:r>
      <w:r>
        <w:t xml:space="preserve">today, but their educational value remains to be demonstrated.</w:t>
      </w:r>
    </w:p>
    <w:p>
      <w:pPr>
        <w:pStyle w:val="BodyText"/>
      </w:pPr>
      <w:r>
        <w:t xml:space="preserve">A formal study of classroom learning outcomes is the natural next step, and one</w:t>
      </w:r>
      <w:r>
        <w:t xml:space="preserve"> </w:t>
      </w:r>
      <w:r>
        <w:t xml:space="preserve">we have not yet carried out. We are designing a within-instructor,</w:t>
      </w:r>
      <w:r>
        <w:t xml:space="preserve"> </w:t>
      </w:r>
      <w:r>
        <w:t xml:space="preserve">between-section comparison in an introductory course—contrasting an</w:t>
      </w:r>
      <w:r>
        <w:t xml:space="preserve"> </w:t>
      </w:r>
      <w:r>
        <w:t xml:space="preserve">Empiria-augmented condition against a matched condition that uses comparable</w:t>
      </w:r>
      <w:r>
        <w:t xml:space="preserve"> </w:t>
      </w:r>
      <w:r>
        <w:t xml:space="preserve">static and applet-based visualizations, with sampling-variability and inference</w:t>
      </w:r>
      <w:r>
        <w:t xml:space="preserve"> </w:t>
      </w:r>
      <w:r>
        <w:t xml:space="preserve">subscales of a validated assessment, together with a transfer task, as</w:t>
      </w:r>
      <w:r>
        <w:t xml:space="preserve"> </w:t>
      </w:r>
      <w:r>
        <w:t xml:space="preserve">outcomes, to test whether these affordances translate into measurable gains.</w:t>
      </w:r>
      <w:r>
        <w:t xml:space="preserve"> </w:t>
      </w:r>
      <w:r>
        <w:t xml:space="preserve">That study will be pre-registered, with its hypotheses and analysis plan</w:t>
      </w:r>
      <w:r>
        <w:t xml:space="preserve"> </w:t>
      </w:r>
      <w:r>
        <w:t xml:space="preserve">deposited before any data are collected.</w:t>
      </w:r>
    </w:p>
    <w:p>
      <w:pPr>
        <w:pStyle w:val="BodyText"/>
      </w:pPr>
      <w:r>
        <w:t xml:space="preserve">Two practical considerations are worth noting for adopters. Because a</w:t>
      </w:r>
      <w:r>
        <w:t xml:space="preserve"> </w:t>
      </w:r>
      <w:r>
        <w:t xml:space="preserve">node-and-cable interface is initially unfamiliar, the bundled guided tour and</w:t>
      </w:r>
      <w:r>
        <w:t xml:space="preserve"> </w:t>
      </w:r>
      <w:r>
        <w:t xml:space="preserve">lesson patches are designed to lower the activation cost and to give students a</w:t>
      </w:r>
      <w:r>
        <w:t xml:space="preserve"> </w:t>
      </w:r>
      <w:r>
        <w:t xml:space="preserve">scaffold from which to begin tinkering; and because the modules are visually</w:t>
      </w:r>
      <w:r>
        <w:t xml:space="preserve"> </w:t>
      </w:r>
      <w:r>
        <w:t xml:space="preserve">engaging, the suggested classroom integration is additive to, rather than a</w:t>
      </w:r>
      <w:r>
        <w:t xml:space="preserve"> </w:t>
      </w:r>
      <w:r>
        <w:t xml:space="preserve">replacement for, a standard analytic workflow. On the technical side,</w:t>
      </w:r>
      <w:r>
        <w:t xml:space="preserve"> </w:t>
      </w:r>
      <w:r>
        <w:t xml:space="preserve">confidence intervals for proportions currently use the normal (Wald) form, and</w:t>
      </w:r>
      <w:r>
        <w:t xml:space="preserve"> </w:t>
      </w:r>
      <w:r>
        <w:t xml:space="preserve">the bootstrap is validated by its coverage behavior and by exact tests of its</w:t>
      </w:r>
      <w:r>
        <w:t xml:space="preserve"> </w:t>
      </w:r>
      <w:r>
        <w:t xml:space="preserve">components rather than by a value-for-value match to a specific resampling</w:t>
      </w:r>
      <w:r>
        <w:t xml:space="preserve"> </w:t>
      </w:r>
      <w:r>
        <w:t xml:space="preserve">implementation.</w:t>
      </w:r>
    </w:p>
    <w:bookmarkEnd w:id="37"/>
    <w:bookmarkStart w:id="3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Empiria operationalizes the central recommendation of the statistics-education</w:t>
      </w:r>
      <w:r>
        <w:t xml:space="preserve"> </w:t>
      </w:r>
      <w:r>
        <w:t xml:space="preserve">reform literature—that students build the sampling distribution before they</w:t>
      </w:r>
      <w:r>
        <w:t xml:space="preserve"> </w:t>
      </w:r>
      <w:r>
        <w:t xml:space="preserve">name it—by making the inferential workflow a composable, manipulable object</w:t>
      </w:r>
      <w:r>
        <w:t xml:space="preserve"> </w:t>
      </w:r>
      <w:r>
        <w:t xml:space="preserve">rather than a sequence of disconnected applets. By pairing that interaction</w:t>
      </w:r>
      <w:r>
        <w:t xml:space="preserve"> </w:t>
      </w:r>
      <w:r>
        <w:t xml:space="preserve">model with exact, independently auditable numerics and reproducible, shareable</w:t>
      </w:r>
      <w:r>
        <w:t xml:space="preserve"> </w:t>
      </w:r>
      <w:r>
        <w:t xml:space="preserve">patches, it aims to be trustworthy as well as legible: a tool a student can</w:t>
      </w:r>
      <w:r>
        <w:t xml:space="preserve"> </w:t>
      </w:r>
      <w:r>
        <w:t xml:space="preserve">learn from and an instructor can verify.</w:t>
      </w:r>
    </w:p>
    <w:bookmarkEnd w:id="38"/>
    <w:bookmarkStart w:id="39" w:name="disclosure-statement"/>
    <w:p>
      <w:pPr>
        <w:pStyle w:val="Heading1"/>
      </w:pPr>
      <w:r>
        <w:t xml:space="preserve">Disclosure statement</w:t>
      </w:r>
    </w:p>
    <w:p>
      <w:pPr>
        <w:pStyle w:val="FirstParagraph"/>
      </w:pPr>
      <w:r>
        <w:t xml:space="preserve">The author reports no competing interests. No funding supported this work.</w:t>
      </w:r>
      <w:r>
        <w:t xml:space="preserve"> </w:t>
      </w:r>
      <w:r>
        <w:t xml:space="preserve">AI-based coding assistants (large language models) were used as programming</w:t>
      </w:r>
      <w:r>
        <w:t xml:space="preserve"> </w:t>
      </w:r>
      <w:r>
        <w:t xml:space="preserve">aids during development of the software. All statistical methods and numerical</w:t>
      </w:r>
      <w:r>
        <w:t xml:space="preserve"> </w:t>
      </w:r>
      <w:r>
        <w:t xml:space="preserve">results were specified by the author and verified against independent reference</w:t>
      </w:r>
      <w:r>
        <w:t xml:space="preserve"> </w:t>
      </w:r>
      <w:r>
        <w:t xml:space="preserve">implementations, as described in</w:t>
      </w:r>
      <w:r>
        <w:t xml:space="preserve"> </w:t>
      </w:r>
      <w:r>
        <w:rPr>
          <w:i/>
          <w:iCs/>
        </w:rPr>
        <w:t xml:space="preserve">Numerical correctness and reproducibility</w:t>
      </w:r>
      <w:r>
        <w:t xml:space="preserve">;</w:t>
      </w:r>
      <w:r>
        <w:t xml:space="preserve"> </w:t>
      </w:r>
      <w:r>
        <w:t xml:space="preserve">the author takes full responsibility for the content of the software and the</w:t>
      </w:r>
      <w:r>
        <w:t xml:space="preserve"> </w:t>
      </w:r>
      <w:r>
        <w:t xml:space="preserve">manuscript.</w:t>
      </w:r>
    </w:p>
    <w:bookmarkEnd w:id="39"/>
    <w:bookmarkStart w:id="54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American Statistical Association, Guidelines for Assessment and Instruction in Statistics Education (GAISE) College Report 2016,</w:t>
      </w:r>
      <w:r>
        <w:t xml:space="preserve"> </w:t>
      </w:r>
      <w:r>
        <w:rPr>
          <w:i/>
          <w:iCs/>
        </w:rPr>
        <w:t xml:space="preserve">American Statistical Association</w:t>
      </w:r>
      <w:r>
        <w:t xml:space="preserve">, 2016.</w:t>
      </w:r>
      <w:r>
        <w:t xml:space="preserve"> </w:t>
      </w:r>
      <w:hyperlink r:id="rId40">
        <w:r>
          <w:rPr>
            <w:rStyle w:val="Hyperlink"/>
          </w:rPr>
          <w:t xml:space="preserve">https://www.amstat.org/education/gaise</w:t>
        </w:r>
      </w:hyperlink>
    </w:p>
    <w:p>
      <w:pPr>
        <w:numPr>
          <w:ilvl w:val="0"/>
          <w:numId w:val="1001"/>
        </w:numPr>
      </w:pPr>
      <w:r>
        <w:t xml:space="preserve">B. Chance, R. delMas, J. Garfield, Reasoning about sampling distributions, in: D. Ben-Zvi, J. Garfield (Eds.),</w:t>
      </w:r>
      <w:r>
        <w:t xml:space="preserve"> </w:t>
      </w:r>
      <w:r>
        <w:rPr>
          <w:i/>
          <w:iCs/>
        </w:rPr>
        <w:t xml:space="preserve">The Challenge of Developing Statistical Literacy, Reasoning, and Thinking</w:t>
      </w:r>
      <w:r>
        <w:t xml:space="preserve">, Springer, 2004, pp. 295–323.</w:t>
      </w:r>
      <w:r>
        <w:t xml:space="preserve"> </w:t>
      </w:r>
      <w:hyperlink r:id="rId41">
        <w:r>
          <w:rPr>
            <w:rStyle w:val="Hyperlink"/>
          </w:rPr>
          <w:t xml:space="preserve">https://doi.org/10.1007/1-4020-2278-6_13</w:t>
        </w:r>
      </w:hyperlink>
    </w:p>
    <w:p>
      <w:pPr>
        <w:numPr>
          <w:ilvl w:val="0"/>
          <w:numId w:val="1001"/>
        </w:numPr>
      </w:pPr>
      <w:r>
        <w:t xml:space="preserve">G. W. Cobb, The introductory statistics course: A Ptolemaic curriculum?,</w:t>
      </w:r>
      <w:r>
        <w:t xml:space="preserve"> </w:t>
      </w:r>
      <w:r>
        <w:rPr>
          <w:i/>
          <w:iCs/>
        </w:rPr>
        <w:t xml:space="preserve">Technology Innovations in Statistics Education</w:t>
      </w:r>
      <w:r>
        <w:t xml:space="preserve">, 1(2007).</w:t>
      </w:r>
      <w:r>
        <w:t xml:space="preserve"> </w:t>
      </w:r>
      <w:hyperlink r:id="rId42">
        <w:r>
          <w:rPr>
            <w:rStyle w:val="Hyperlink"/>
          </w:rPr>
          <w:t xml:space="preserve">https://doi.org/10.5070/T511000028</w:t>
        </w:r>
      </w:hyperlink>
    </w:p>
    <w:p>
      <w:pPr>
        <w:numPr>
          <w:ilvl w:val="0"/>
          <w:numId w:val="1001"/>
        </w:numPr>
      </w:pPr>
      <w:r>
        <w:t xml:space="preserve">R. delMas, J. Garfield, A. Ooms, B. Chance, Assessing students’ conceptual understanding after a first course in statistics,</w:t>
      </w:r>
      <w:r>
        <w:t xml:space="preserve"> </w:t>
      </w:r>
      <w:r>
        <w:rPr>
          <w:i/>
          <w:iCs/>
        </w:rPr>
        <w:t xml:space="preserve">Statistics Education Research Journal</w:t>
      </w:r>
      <w:r>
        <w:t xml:space="preserve">, 6(2007), 28–58.</w:t>
      </w:r>
      <w:r>
        <w:t xml:space="preserve"> </w:t>
      </w:r>
      <w:hyperlink r:id="rId43">
        <w:r>
          <w:rPr>
            <w:rStyle w:val="Hyperlink"/>
          </w:rPr>
          <w:t xml:space="preserve">https://doi.org/10.52041/serj.v6i2.483</w:t>
        </w:r>
      </w:hyperlink>
    </w:p>
    <w:p>
      <w:pPr>
        <w:numPr>
          <w:ilvl w:val="0"/>
          <w:numId w:val="1001"/>
        </w:numPr>
      </w:pPr>
      <w:r>
        <w:t xml:space="preserve">B. Efron, Better bootstrap confidence intervals,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82(1987), 171–185.</w:t>
      </w:r>
      <w:r>
        <w:t xml:space="preserve"> </w:t>
      </w:r>
      <w:hyperlink r:id="rId44">
        <w:r>
          <w:rPr>
            <w:rStyle w:val="Hyperlink"/>
          </w:rPr>
          <w:t xml:space="preserve">https://doi.org/10.1080/01621459.1987.10478410</w:t>
        </w:r>
      </w:hyperlink>
    </w:p>
    <w:p>
      <w:pPr>
        <w:numPr>
          <w:ilvl w:val="0"/>
          <w:numId w:val="1001"/>
        </w:numPr>
      </w:pPr>
      <w:r>
        <w:t xml:space="preserve">W. Finzer, The data science education dilemma,</w:t>
      </w:r>
      <w:r>
        <w:t xml:space="preserve"> </w:t>
      </w:r>
      <w:r>
        <w:rPr>
          <w:i/>
          <w:iCs/>
        </w:rPr>
        <w:t xml:space="preserve">Technology Innovations in Statistics Education</w:t>
      </w:r>
      <w:r>
        <w:t xml:space="preserve">, 7(2013).</w:t>
      </w:r>
      <w:r>
        <w:t xml:space="preserve"> </w:t>
      </w:r>
      <w:hyperlink r:id="rId45">
        <w:r>
          <w:rPr>
            <w:rStyle w:val="Hyperlink"/>
          </w:rPr>
          <w:t xml:space="preserve">https://doi.org/10.5070/T572013891</w:t>
        </w:r>
      </w:hyperlink>
    </w:p>
    <w:p>
      <w:pPr>
        <w:numPr>
          <w:ilvl w:val="0"/>
          <w:numId w:val="1001"/>
        </w:numPr>
      </w:pPr>
      <w:r>
        <w:t xml:space="preserve">J. Garfield, D. Ben-Zvi, Helping students develop statistical reasoning: Implementing a statistical reasoning learning environment,</w:t>
      </w:r>
      <w:r>
        <w:t xml:space="preserve"> </w:t>
      </w:r>
      <w:r>
        <w:rPr>
          <w:i/>
          <w:iCs/>
        </w:rPr>
        <w:t xml:space="preserve">Teaching Statistics</w:t>
      </w:r>
      <w:r>
        <w:t xml:space="preserve">, 31(2009), 72–77.</w:t>
      </w:r>
      <w:r>
        <w:t xml:space="preserve"> </w:t>
      </w:r>
      <w:hyperlink r:id="rId46">
        <w:r>
          <w:rPr>
            <w:rStyle w:val="Hyperlink"/>
          </w:rPr>
          <w:t xml:space="preserve">https://doi.org/10.1111/j.1467-9639.2009.00363.x</w:t>
        </w:r>
      </w:hyperlink>
    </w:p>
    <w:p>
      <w:pPr>
        <w:numPr>
          <w:ilvl w:val="0"/>
          <w:numId w:val="1001"/>
        </w:numPr>
      </w:pPr>
      <w:r>
        <w:t xml:space="preserve">S. Gok, R. L. Goldstone, How do students reason about statistical sampling with computer simulations? An integrative review from a grounded cognition perspective,</w:t>
      </w:r>
      <w:r>
        <w:t xml:space="preserve"> </w:t>
      </w:r>
      <w:r>
        <w:rPr>
          <w:i/>
          <w:iCs/>
        </w:rPr>
        <w:t xml:space="preserve">Cognitive Research: Principles and Implications</w:t>
      </w:r>
      <w:r>
        <w:t xml:space="preserve">, 9(2024), 33.</w:t>
      </w:r>
      <w:r>
        <w:t xml:space="preserve"> </w:t>
      </w:r>
      <w:hyperlink r:id="rId47">
        <w:r>
          <w:rPr>
            <w:rStyle w:val="Hyperlink"/>
          </w:rPr>
          <w:t xml:space="preserve">https://doi.org/10.1186/s41235-024-00561-x</w:t>
        </w:r>
      </w:hyperlink>
    </w:p>
    <w:p>
      <w:pPr>
        <w:numPr>
          <w:ilvl w:val="0"/>
          <w:numId w:val="1001"/>
        </w:numPr>
      </w:pPr>
      <w:r>
        <w:t xml:space="preserve">T. C. Hesterberg, What teachers should know about the bootstrap: Resampling in the undergraduate statistics curriculum,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69(2015), 371–386.</w:t>
      </w:r>
      <w:r>
        <w:t xml:space="preserve"> </w:t>
      </w:r>
      <w:hyperlink r:id="rId48">
        <w:r>
          <w:rPr>
            <w:rStyle w:val="Hyperlink"/>
          </w:rPr>
          <w:t xml:space="preserve">https://doi.org/10.1080/00031305.2015.1089789</w:t>
        </w:r>
      </w:hyperlink>
    </w:p>
    <w:p>
      <w:pPr>
        <w:numPr>
          <w:ilvl w:val="0"/>
          <w:numId w:val="1001"/>
        </w:numPr>
      </w:pPr>
      <w:r>
        <w:t xml:space="preserve">C. Konold, R. Lehrer, Technology and mathematics education: An essay in honor of Jim Kaput, in: L. D. English (Ed.),</w:t>
      </w:r>
      <w:r>
        <w:t xml:space="preserve"> </w:t>
      </w:r>
      <w:r>
        <w:rPr>
          <w:i/>
          <w:iCs/>
        </w:rPr>
        <w:t xml:space="preserve">Handbook of International Research in Mathematics Education</w:t>
      </w:r>
      <w:r>
        <w:t xml:space="preserve">, 2nd ed., Routledge, 2008.</w:t>
      </w:r>
    </w:p>
    <w:p>
      <w:pPr>
        <w:numPr>
          <w:ilvl w:val="0"/>
          <w:numId w:val="1001"/>
        </w:numPr>
      </w:pPr>
      <w:r>
        <w:t xml:space="preserve">R. H. Lock, P. F. Lock, K. Lock Morgan, E. F. Lock, D. F. Lock,</w:t>
      </w:r>
      <w:r>
        <w:t xml:space="preserve"> </w:t>
      </w:r>
      <w:r>
        <w:rPr>
          <w:i/>
          <w:iCs/>
        </w:rPr>
        <w:t xml:space="preserve">Statistics: Unlocking the Power of Data</w:t>
      </w:r>
      <w:r>
        <w:t xml:space="preserve">, 3rd ed., Wiley, 2021. StatKey:</w:t>
      </w:r>
      <w:r>
        <w:t xml:space="preserve"> </w:t>
      </w:r>
      <w:hyperlink r:id="rId49">
        <w:r>
          <w:rPr>
            <w:rStyle w:val="Hyperlink"/>
          </w:rPr>
          <w:t xml:space="preserve">https://www.lock5stat.com/statkey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M. Matsumoto, T. Nishimura, Mersenne Twister: A 623-dimensionally equidistributed uniform pseudo-random number generator,</w:t>
      </w:r>
      <w:r>
        <w:t xml:space="preserve"> </w:t>
      </w:r>
      <w:r>
        <w:rPr>
          <w:i/>
          <w:iCs/>
        </w:rPr>
        <w:t xml:space="preserve">ACM Transactions on Modeling and Computer Simulation</w:t>
      </w:r>
      <w:r>
        <w:t xml:space="preserve">, 8(1998), 3–30.</w:t>
      </w:r>
      <w:r>
        <w:t xml:space="preserve"> </w:t>
      </w:r>
      <w:hyperlink r:id="rId50">
        <w:r>
          <w:rPr>
            <w:rStyle w:val="Hyperlink"/>
          </w:rPr>
          <w:t xml:space="preserve">https://doi.org/10.1145/272991.272995</w:t>
        </w:r>
      </w:hyperlink>
    </w:p>
    <w:p>
      <w:pPr>
        <w:numPr>
          <w:ilvl w:val="0"/>
          <w:numId w:val="1001"/>
        </w:numPr>
      </w:pPr>
      <w:r>
        <w:t xml:space="preserve">S. Papert,</w:t>
      </w:r>
      <w:r>
        <w:t xml:space="preserve"> </w:t>
      </w:r>
      <w:r>
        <w:rPr>
          <w:i/>
          <w:iCs/>
        </w:rPr>
        <w:t xml:space="preserve">Mindstorms: Children, Computers, and Powerful Ideas</w:t>
      </w:r>
      <w:r>
        <w:t xml:space="preserve">, Basic Books, 1980.</w:t>
      </w:r>
    </w:p>
    <w:p>
      <w:pPr>
        <w:numPr>
          <w:ilvl w:val="0"/>
          <w:numId w:val="1001"/>
        </w:numPr>
      </w:pPr>
      <w:r>
        <w:t xml:space="preserve">W. H. Press, S. A. Teukolsky, W. T. Vetterling, B. P. Flannery,</w:t>
      </w:r>
      <w:r>
        <w:t xml:space="preserve"> </w:t>
      </w:r>
      <w:r>
        <w:rPr>
          <w:i/>
          <w:iCs/>
        </w:rPr>
        <w:t xml:space="preserve">Numerical Recipes: The Art of Scientific Computing</w:t>
      </w:r>
      <w:r>
        <w:t xml:space="preserve">, 3rd ed., Cambridge University Press, 2007.</w:t>
      </w:r>
    </w:p>
    <w:p>
      <w:pPr>
        <w:numPr>
          <w:ilvl w:val="0"/>
          <w:numId w:val="1001"/>
        </w:numPr>
      </w:pPr>
      <w:r>
        <w:t xml:space="preserve">A. Rossman, B. Chance, Using simulation-based inference for learning introductory statistics,</w:t>
      </w:r>
      <w:r>
        <w:t xml:space="preserve"> </w:t>
      </w:r>
      <w:r>
        <w:rPr>
          <w:i/>
          <w:iCs/>
        </w:rPr>
        <w:t xml:space="preserve">WIREs Computational Statistics</w:t>
      </w:r>
      <w:r>
        <w:t xml:space="preserve">, 6(2014), 211–221.</w:t>
      </w:r>
      <w:r>
        <w:t xml:space="preserve"> </w:t>
      </w:r>
      <w:hyperlink r:id="rId51">
        <w:r>
          <w:rPr>
            <w:rStyle w:val="Hyperlink"/>
          </w:rPr>
          <w:t xml:space="preserve">https://doi.org/10.1002/wics.1302</w:t>
        </w:r>
      </w:hyperlink>
    </w:p>
    <w:p>
      <w:pPr>
        <w:numPr>
          <w:ilvl w:val="0"/>
          <w:numId w:val="1001"/>
        </w:numPr>
      </w:pPr>
      <w:r>
        <w:t xml:space="preserve">N. Tintle, B. Chance, G. Cobb, S. Roy, T. Swanson, J. VanderStoep, Combating anti-statistical thinking using simulation-based methods throughout the undergraduate curriculum,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69(2015), 362–370.</w:t>
      </w:r>
      <w:r>
        <w:t xml:space="preserve"> </w:t>
      </w:r>
      <w:hyperlink r:id="rId52">
        <w:r>
          <w:rPr>
            <w:rStyle w:val="Hyperlink"/>
          </w:rPr>
          <w:t xml:space="preserve">https://doi.org/10.1080/00031305.2015.1081619</w:t>
        </w:r>
      </w:hyperlink>
    </w:p>
    <w:p>
      <w:pPr>
        <w:numPr>
          <w:ilvl w:val="0"/>
          <w:numId w:val="1001"/>
        </w:numPr>
      </w:pPr>
      <w:r>
        <w:t xml:space="preserve">U. Wilensky,</w:t>
      </w:r>
      <w:r>
        <w:t xml:space="preserve"> </w:t>
      </w:r>
      <w:r>
        <w:rPr>
          <w:i/>
          <w:iCs/>
        </w:rPr>
        <w:t xml:space="preserve">NetLogo</w:t>
      </w:r>
      <w:r>
        <w:t xml:space="preserve">, Center for Connected Learning and Computer-Based Modeling, Northwestern University, 1999.</w:t>
      </w:r>
      <w:r>
        <w:t xml:space="preserve"> </w:t>
      </w:r>
      <w:hyperlink r:id="rId53">
        <w:r>
          <w:rPr>
            <w:rStyle w:val="Hyperlink"/>
          </w:rPr>
          <w:t xml:space="preserve">http://ccl.northwestern.edu/netlogo/</w:t>
        </w:r>
      </w:hyperlink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13" Target="media/rId13.png" /><Relationship Type="http://schemas.openxmlformats.org/officeDocument/2006/relationships/hyperlink" Id="rId53" Target="http://ccl.northwestern.edu/netlogo/" TargetMode="External" /><Relationship Type="http://schemas.openxmlformats.org/officeDocument/2006/relationships/hyperlink" Id="rId51" Target="https://doi.org/10.1002/wics.1302" TargetMode="External" /><Relationship Type="http://schemas.openxmlformats.org/officeDocument/2006/relationships/hyperlink" Id="rId41" Target="https://doi.org/10.1007/1-4020-2278-6_13" TargetMode="External" /><Relationship Type="http://schemas.openxmlformats.org/officeDocument/2006/relationships/hyperlink" Id="rId52" Target="https://doi.org/10.1080/00031305.2015.1081619" TargetMode="External" /><Relationship Type="http://schemas.openxmlformats.org/officeDocument/2006/relationships/hyperlink" Id="rId48" Target="https://doi.org/10.1080/00031305.2015.1089789" TargetMode="External" /><Relationship Type="http://schemas.openxmlformats.org/officeDocument/2006/relationships/hyperlink" Id="rId44" Target="https://doi.org/10.1080/01621459.1987.10478410" TargetMode="External" /><Relationship Type="http://schemas.openxmlformats.org/officeDocument/2006/relationships/hyperlink" Id="rId46" Target="https://doi.org/10.1111/j.1467-9639.2009.00363.x" TargetMode="External" /><Relationship Type="http://schemas.openxmlformats.org/officeDocument/2006/relationships/hyperlink" Id="rId50" Target="https://doi.org/10.1145/272991.272995" TargetMode="External" /><Relationship Type="http://schemas.openxmlformats.org/officeDocument/2006/relationships/hyperlink" Id="rId47" Target="https://doi.org/10.1186/s41235-024-00561-x" TargetMode="External" /><Relationship Type="http://schemas.openxmlformats.org/officeDocument/2006/relationships/hyperlink" Id="rId42" Target="https://doi.org/10.5070/T511000028" TargetMode="External" /><Relationship Type="http://schemas.openxmlformats.org/officeDocument/2006/relationships/hyperlink" Id="rId45" Target="https://doi.org/10.5070/T572013891" TargetMode="External" /><Relationship Type="http://schemas.openxmlformats.org/officeDocument/2006/relationships/hyperlink" Id="rId43" Target="https://doi.org/10.52041/serj.v6i2.483" TargetMode="External" /><Relationship Type="http://schemas.openxmlformats.org/officeDocument/2006/relationships/hyperlink" Id="rId35" Target="https://github.com/kevisc/empiria" TargetMode="External" /><Relationship Type="http://schemas.openxmlformats.org/officeDocument/2006/relationships/hyperlink" Id="rId9" Target="https://kevinschoenholzer.com/empiria/" TargetMode="External" /><Relationship Type="http://schemas.openxmlformats.org/officeDocument/2006/relationships/hyperlink" Id="rId40" Target="https://www.amstat.org/education/gaise" TargetMode="External" /><Relationship Type="http://schemas.openxmlformats.org/officeDocument/2006/relationships/hyperlink" Id="rId49" Target="https://www.lock5stat.com/stat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://ccl.northwestern.edu/netlogo/" TargetMode="External" /><Relationship Type="http://schemas.openxmlformats.org/officeDocument/2006/relationships/hyperlink" Id="rId51" Target="https://doi.org/10.1002/wics.1302" TargetMode="External" /><Relationship Type="http://schemas.openxmlformats.org/officeDocument/2006/relationships/hyperlink" Id="rId41" Target="https://doi.org/10.1007/1-4020-2278-6_13" TargetMode="External" /><Relationship Type="http://schemas.openxmlformats.org/officeDocument/2006/relationships/hyperlink" Id="rId52" Target="https://doi.org/10.1080/00031305.2015.1081619" TargetMode="External" /><Relationship Type="http://schemas.openxmlformats.org/officeDocument/2006/relationships/hyperlink" Id="rId48" Target="https://doi.org/10.1080/00031305.2015.1089789" TargetMode="External" /><Relationship Type="http://schemas.openxmlformats.org/officeDocument/2006/relationships/hyperlink" Id="rId44" Target="https://doi.org/10.1080/01621459.1987.10478410" TargetMode="External" /><Relationship Type="http://schemas.openxmlformats.org/officeDocument/2006/relationships/hyperlink" Id="rId46" Target="https://doi.org/10.1111/j.1467-9639.2009.00363.x" TargetMode="External" /><Relationship Type="http://schemas.openxmlformats.org/officeDocument/2006/relationships/hyperlink" Id="rId50" Target="https://doi.org/10.1145/272991.272995" TargetMode="External" /><Relationship Type="http://schemas.openxmlformats.org/officeDocument/2006/relationships/hyperlink" Id="rId47" Target="https://doi.org/10.1186/s41235-024-00561-x" TargetMode="External" /><Relationship Type="http://schemas.openxmlformats.org/officeDocument/2006/relationships/hyperlink" Id="rId42" Target="https://doi.org/10.5070/T511000028" TargetMode="External" /><Relationship Type="http://schemas.openxmlformats.org/officeDocument/2006/relationships/hyperlink" Id="rId45" Target="https://doi.org/10.5070/T572013891" TargetMode="External" /><Relationship Type="http://schemas.openxmlformats.org/officeDocument/2006/relationships/hyperlink" Id="rId43" Target="https://doi.org/10.52041/serj.v6i2.483" TargetMode="External" /><Relationship Type="http://schemas.openxmlformats.org/officeDocument/2006/relationships/hyperlink" Id="rId35" Target="https://github.com/kevisc/empiria" TargetMode="External" /><Relationship Type="http://schemas.openxmlformats.org/officeDocument/2006/relationships/hyperlink" Id="rId9" Target="https://kevinschoenholzer.com/empiria/" TargetMode="External" /><Relationship Type="http://schemas.openxmlformats.org/officeDocument/2006/relationships/hyperlink" Id="rId40" Target="https://www.amstat.org/education/gaise" TargetMode="External" /><Relationship Type="http://schemas.openxmlformats.org/officeDocument/2006/relationships/hyperlink" Id="rId49" Target="https://www.lock5stat.com/stat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Empiria: A Composable, Browser-Based Environment for Simulation-Based Statistics Education</dc:title>
  <dc:creator>Kevin Schoenholzer</dc:creator>
  <cp:keywords/>
  <dcterms:created xsi:type="dcterms:W3CDTF">2026-05-26T21:34:13Z</dcterms:created>
  <dcterms:modified xsi:type="dcterms:W3CDTF">2026-05-26T21:34:13Z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