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Kevin Schoenholzer</w:t>
      </w:r>
      <w:r>
        <w:t xml:space="preserve"> </w:t>
      </w:r>
      <w:r>
        <w:t xml:space="preserve">Institute of Communication and Public Policy</w:t>
      </w:r>
      <w:r>
        <w:t xml:space="preserve"> </w:t>
      </w:r>
      <w:r>
        <w:t xml:space="preserve">Università della Svizzera italiana (USI)</w:t>
      </w:r>
      <w:r>
        <w:t xml:space="preserve"> </w:t>
      </w:r>
      <w:r>
        <w:t xml:space="preserve">Lugano, Switzerland</w:t>
      </w:r>
      <w:r>
        <w:t xml:space="preserve"> </w:t>
      </w:r>
      <w:r>
        <w:t xml:space="preserve">kevin.schoenholzer@usi.ch</w:t>
      </w:r>
    </w:p>
    <w:p>
      <w:pPr>
        <w:pStyle w:val="BodyText"/>
      </w:pPr>
      <w:r>
        <w:t xml:space="preserve">Rhys Jones</w:t>
      </w:r>
      <w:r>
        <w:t xml:space="preserve"> </w:t>
      </w:r>
      <w:r>
        <w:t xml:space="preserve">Editor,</w:t>
      </w:r>
      <w:r>
        <w:t xml:space="preserve"> </w:t>
      </w:r>
      <w:r>
        <w:rPr>
          <w:i/>
          <w:iCs/>
        </w:rPr>
        <w:t xml:space="preserve">Teaching Statistics</w:t>
      </w:r>
    </w:p>
    <w:p>
      <w:pPr>
        <w:pStyle w:val="BodyText"/>
      </w:pPr>
      <w:r>
        <w:t xml:space="preserve">Dear Dr Jones,</w:t>
      </w:r>
    </w:p>
    <w:p>
      <w:pPr>
        <w:pStyle w:val="BodyText"/>
      </w:pPr>
      <w:r>
        <w:t xml:space="preserve">I am pleased to submit an original article,</w:t>
      </w:r>
      <w:r>
        <w:t xml:space="preserve"> </w:t>
      </w:r>
      <w:r>
        <w:t xml:space="preserve">“Empiria: A Composable,</w:t>
      </w:r>
      <w:r>
        <w:t xml:space="preserve"> </w:t>
      </w:r>
      <w:r>
        <w:t xml:space="preserve">Browser-Based Environment for Simulation-Based Statistics Education,”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</w:t>
      </w:r>
      <w:r>
        <w:t xml:space="preserve"> </w:t>
      </w:r>
      <w:r>
        <w:rPr>
          <w:i/>
          <w:iCs/>
        </w:rPr>
        <w:t xml:space="preserve">Teaching Statistics</w:t>
      </w:r>
      <w:r>
        <w:t xml:space="preserve">.</w:t>
      </w:r>
    </w:p>
    <w:p>
      <w:pPr>
        <w:pStyle w:val="BodyText"/>
      </w:pPr>
      <w:r>
        <w:t xml:space="preserve">Simulation-based reasoning, in which students build a sampling distribution</w:t>
      </w:r>
      <w:r>
        <w:t xml:space="preserve"> </w:t>
      </w:r>
      <w:r>
        <w:t xml:space="preserve">empirically before they meet it as a formula, is now a mainstream goal of</w:t>
      </w:r>
      <w:r>
        <w:t xml:space="preserve"> </w:t>
      </w:r>
      <w:r>
        <w:t xml:space="preserve">statistics teaching, but the supporting software is typically siloed: each</w:t>
      </w:r>
      <w:r>
        <w:t xml:space="preserve"> </w:t>
      </w:r>
      <w:r>
        <w:t xml:space="preserve">applet addresses one concept and cannot pass its output to the next step, so</w:t>
      </w:r>
      <w:r>
        <w:t xml:space="preserve"> </w:t>
      </w:r>
      <w:r>
        <w:t xml:space="preserve">the workflow students must internalize stays implicit. The article introduces</w:t>
      </w:r>
      <w:r>
        <w:t xml:space="preserve"> </w:t>
      </w:r>
      <w:r>
        <w:t xml:space="preserve">Empiria, a free, open-source, browser-based environment that makes that</w:t>
      </w:r>
      <w:r>
        <w:t xml:space="preserve"> </w:t>
      </w:r>
      <w:r>
        <w:t xml:space="preserve">workflow explicit by representing it as a composable dataflow graph: students</w:t>
      </w:r>
      <w:r>
        <w:t xml:space="preserve"> </w:t>
      </w:r>
      <w:r>
        <w:t xml:space="preserve">wire small modules together and watch every intermediate quantity update in</w:t>
      </w:r>
      <w:r>
        <w:t xml:space="preserve"> </w:t>
      </w:r>
      <w:r>
        <w:t xml:space="preserve">real time. It requires no installation, runs on any modern device (including</w:t>
      </w:r>
      <w:r>
        <w:t xml:space="preserve"> </w:t>
      </w:r>
      <w:r>
        <w:t xml:space="preserve">Chromebooks and tablets), and ships sixteen ready-to-use lesson worksheets and</w:t>
      </w:r>
      <w:r>
        <w:t xml:space="preserve"> </w:t>
      </w:r>
      <w:r>
        <w:t xml:space="preserve">a short guided tour, so an instructor can adopt it without preparation.</w:t>
      </w:r>
    </w:p>
    <w:p>
      <w:pPr>
        <w:pStyle w:val="BodyText"/>
      </w:pPr>
      <w:r>
        <w:t xml:space="preserve">I believe the article fits the journal’s emphasis on good practice in teaching</w:t>
      </w:r>
      <w:r>
        <w:t xml:space="preserve"> </w:t>
      </w:r>
      <w:r>
        <w:t xml:space="preserve">in three ways. First, it offers a concrete, classroom-ready way to teach the</w:t>
      </w:r>
      <w:r>
        <w:t xml:space="preserve"> </w:t>
      </w:r>
      <w:r>
        <w:t xml:space="preserve">inferential workflow as a single connected picture rather than a sequence of</w:t>
      </w:r>
      <w:r>
        <w:t xml:space="preserve"> </w:t>
      </w:r>
      <w:r>
        <w:t xml:space="preserve">disconnected demonstrations, with bundled activities that span</w:t>
      </w:r>
      <w:r>
        <w:t xml:space="preserve"> </w:t>
      </w:r>
      <w:r>
        <w:t xml:space="preserve">general-education through introductory and graduate courses. Second, it is</w:t>
      </w:r>
      <w:r>
        <w:t xml:space="preserve"> </w:t>
      </w:r>
      <w:r>
        <w:t xml:space="preserve">grounded in the statistics-education literature on dynamic visualization and</w:t>
      </w:r>
      <w:r>
        <w:t xml:space="preserve"> </w:t>
      </w:r>
      <w:r>
        <w:t xml:space="preserve">simulation-based inference. Third, and unusually for a teaching tool, its</w:t>
      </w:r>
      <w:r>
        <w:t xml:space="preserve"> </w:t>
      </w:r>
      <w:r>
        <w:t xml:space="preserve">numerical routines use exact recipes rather than normal-theory approximations</w:t>
      </w:r>
      <w:r>
        <w:t xml:space="preserve"> </w:t>
      </w:r>
      <w:r>
        <w:t xml:space="preserve">and are verified against R to machine precision by an automated test suite,</w:t>
      </w:r>
      <w:r>
        <w:t xml:space="preserve"> </w:t>
      </w:r>
      <w:r>
        <w:t xml:space="preserve">with a script that regenerates every reference value independently, so the</w:t>
      </w:r>
      <w:r>
        <w:t xml:space="preserve"> </w:t>
      </w:r>
      <w:r>
        <w:t xml:space="preserve">numbers an instructor puts in front of students are auditable, not merely</w:t>
      </w:r>
      <w:r>
        <w:t xml:space="preserve"> </w:t>
      </w:r>
      <w:r>
        <w:t xml:space="preserve">plausible.</w:t>
      </w:r>
    </w:p>
    <w:p>
      <w:pPr>
        <w:pStyle w:val="BodyText"/>
      </w:pPr>
      <w:r>
        <w:t xml:space="preserve">A brief word on where this comes from. I am a postdoctoral researcher at the</w:t>
      </w:r>
      <w:r>
        <w:t xml:space="preserve"> </w:t>
      </w:r>
      <w:r>
        <w:t xml:space="preserve">Institute of Communication and Public Policy at USI, where my work concerns</w:t>
      </w:r>
      <w:r>
        <w:t xml:space="preserve"> </w:t>
      </w:r>
      <w:r>
        <w:t xml:space="preserve">quantitative methods in the social sciences. Empiria grew out of an unexpected</w:t>
      </w:r>
      <w:r>
        <w:t xml:space="preserve"> </w:t>
      </w:r>
      <w:r>
        <w:t xml:space="preserve">overlap between that work and a long-standing hobby of mine, patching modular</w:t>
      </w:r>
      <w:r>
        <w:t xml:space="preserve"> </w:t>
      </w:r>
      <w:r>
        <w:t xml:space="preserve">synthesizers. A modular synth is a live, visual, tactile computer: you build a</w:t>
      </w:r>
      <w:r>
        <w:t xml:space="preserve"> </w:t>
      </w:r>
      <w:r>
        <w:t xml:space="preserve">process by wiring small modules together and hear it change as you turn a knob.</w:t>
      </w:r>
      <w:r>
        <w:t xml:space="preserve"> </w:t>
      </w:r>
      <w:r>
        <w:t xml:space="preserve">That is also the spirit of the older analog-computing tradition, in which a</w:t>
      </w:r>
      <w:r>
        <w:t xml:space="preserve"> </w:t>
      </w:r>
      <w:r>
        <w:t xml:space="preserve">calculation was something physical you could see and adjust rather than a hidden</w:t>
      </w:r>
      <w:r>
        <w:t xml:space="preserve"> </w:t>
      </w:r>
      <w:r>
        <w:t xml:space="preserve">function call. Empiria brings that sensibility to statistics, so that the</w:t>
      </w:r>
      <w:r>
        <w:t xml:space="preserve"> </w:t>
      </w:r>
      <w:r>
        <w:t xml:space="preserve">inferential workflow becomes something a student assembles, touches, and watches</w:t>
      </w:r>
      <w:r>
        <w:t xml:space="preserve"> </w:t>
      </w:r>
      <w:r>
        <w:t xml:space="preserve">respond in real time. I have written the article for practitioners, in the hope</w:t>
      </w:r>
      <w:r>
        <w:t xml:space="preserve"> </w:t>
      </w:r>
      <w:r>
        <w:t xml:space="preserve">of adding to the conversation about hands-on and alternative ways of conveying</w:t>
      </w:r>
      <w:r>
        <w:t xml:space="preserve"> </w:t>
      </w:r>
      <w:r>
        <w:t xml:space="preserve">statistical ideas.</w:t>
      </w:r>
    </w:p>
    <w:p>
      <w:pPr>
        <w:pStyle w:val="BodyText"/>
      </w:pPr>
      <w:r>
        <w:t xml:space="preserve">The article describes an educational technology and its design rationale; it</w:t>
      </w:r>
      <w:r>
        <w:t xml:space="preserve"> </w:t>
      </w:r>
      <w:r>
        <w:t xml:space="preserve">does not yet report a classroom evaluation, which it states explicitly and</w:t>
      </w:r>
      <w:r>
        <w:t xml:space="preserve"> </w:t>
      </w:r>
      <w:r>
        <w:t xml:space="preserve">frames as planned future work. The software is freely available, so reviewers</w:t>
      </w:r>
      <w:r>
        <w:t xml:space="preserve"> </w:t>
      </w:r>
      <w:r>
        <w:t xml:space="preserve">can use it directly and inspect its source and tests.</w:t>
      </w:r>
    </w:p>
    <w:p>
      <w:pPr>
        <w:pStyle w:val="BodyText"/>
      </w:pPr>
      <w:r>
        <w:t xml:space="preserve">The manuscript is original, is not under consideration elsewhere, has a single</w:t>
      </w:r>
      <w:r>
        <w:t xml:space="preserve"> </w:t>
      </w:r>
      <w:r>
        <w:t xml:space="preserve">author with no competing interests and no funding to declare, and has been</w:t>
      </w:r>
      <w:r>
        <w:t xml:space="preserve"> </w:t>
      </w:r>
      <w:r>
        <w:t xml:space="preserve">prepared for double-blind review (a separate title page carries all</w:t>
      </w:r>
      <w:r>
        <w:t xml:space="preserve"> </w:t>
      </w:r>
      <w:r>
        <w:t xml:space="preserve">identifying information).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Kevin Schoenholzer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2026-05-27T15:28:50Z</dcterms:created>
  <dcterms:modified xsi:type="dcterms:W3CDTF">2026-05-27T15:28:50Z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