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Kevin Schoenholzer</w:t>
      </w:r>
      <w:r>
        <w:t xml:space="preserve"> </w:t>
      </w:r>
      <w:r>
        <w:t xml:space="preserve">Institute of Communication and Public Policy</w:t>
      </w:r>
      <w:r>
        <w:t xml:space="preserve"> </w:t>
      </w:r>
      <w:r>
        <w:t xml:space="preserve">Università della Svizzera italiana (USI)</w:t>
      </w:r>
      <w:r>
        <w:t xml:space="preserve"> </w:t>
      </w:r>
      <w:r>
        <w:t xml:space="preserve">Lugano, Switzerland</w:t>
      </w:r>
      <w:r>
        <w:t xml:space="preserve"> </w:t>
      </w:r>
      <w:r>
        <w:t xml:space="preserve">kevin.schoenholzer@usi.ch</w:t>
      </w:r>
    </w:p>
    <w:p>
      <w:pPr>
        <w:pStyle w:val="BodyText"/>
      </w:pPr>
      <w:r>
        <w:t xml:space="preserve">Rhys Jones</w:t>
      </w:r>
      <w:r>
        <w:t xml:space="preserve"> </w:t>
      </w:r>
      <w:r>
        <w:t xml:space="preserve">Editor,</w:t>
      </w:r>
      <w:r>
        <w:t xml:space="preserve"> </w:t>
      </w:r>
      <w:r>
        <w:rPr>
          <w:i/>
          <w:iCs/>
        </w:rPr>
        <w:t xml:space="preserve">Teaching Statistics</w:t>
      </w:r>
    </w:p>
    <w:p>
      <w:pPr>
        <w:pStyle w:val="BodyText"/>
      </w:pPr>
      <w:r>
        <w:t xml:space="preserve">Dear Dr Jones,</w:t>
      </w:r>
    </w:p>
    <w:p>
      <w:pPr>
        <w:pStyle w:val="BodyText"/>
      </w:pPr>
      <w:r>
        <w:t xml:space="preserve">Thank you for the constructive decision letter on my earlier submission</w:t>
      </w:r>
      <w:r>
        <w:t xml:space="preserve"> </w:t>
      </w:r>
      <w:r>
        <w:t xml:space="preserve">(manuscript 5250955,</w:t>
      </w:r>
      <w:r>
        <w:t xml:space="preserve"> </w:t>
      </w:r>
      <w:r>
        <w:t xml:space="preserve">“Empiria: A Composable, Browser-Based Environment for</w:t>
      </w:r>
      <w:r>
        <w:t xml:space="preserve"> </w:t>
      </w:r>
      <w:r>
        <w:t xml:space="preserve">Simulation-Based Statistics Education”</w:t>
      </w:r>
      <w:r>
        <w:t xml:space="preserve">). The three concerns you raised have</w:t>
      </w:r>
      <w:r>
        <w:t xml:space="preserve"> </w:t>
      </w:r>
      <w:r>
        <w:t xml:space="preserve">driven a substantial revision, which I am pleased to submit for your</w:t>
      </w:r>
      <w:r>
        <w:t xml:space="preserve"> </w:t>
      </w:r>
      <w:r>
        <w:t xml:space="preserve">consideration. I have addressed each of your points directly.</w:t>
      </w:r>
    </w:p>
    <w:p>
      <w:pPr>
        <w:pStyle w:val="BodyText"/>
      </w:pPr>
      <w:r>
        <w:rPr>
          <w:b/>
          <w:bCs/>
        </w:rPr>
        <w:t xml:space="preserve">1. Expanded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Illustrative classroom use</w:t>
      </w:r>
      <w:r>
        <w:rPr>
          <w:b/>
          <w:bCs/>
        </w:rPr>
        <w:t xml:space="preserve">.</w:t>
      </w:r>
      <w:r>
        <w:t xml:space="preserve"> </w:t>
      </w:r>
      <w:r>
        <w:t xml:space="preserve">The previous short paragraph has</w:t>
      </w:r>
      <w:r>
        <w:t xml:space="preserve"> </w:t>
      </w:r>
      <w:r>
        <w:t xml:space="preserve">been replaced by six detailed lesson walkthroughs. For each of the law of</w:t>
      </w:r>
      <w:r>
        <w:t xml:space="preserve"> </w:t>
      </w:r>
      <w:r>
        <w:t xml:space="preserve">large numbers, the meaning of</w:t>
      </w:r>
      <w:r>
        <w:t xml:space="preserve"> </w:t>
      </w:r>
      <w:r>
        <w:t xml:space="preserve">“95% confidence”</w:t>
      </w:r>
      <w:r>
        <w:t xml:space="preserve">, the bootstrap sampling</w:t>
      </w:r>
      <w:r>
        <w:t xml:space="preserve"> </w:t>
      </w:r>
      <w:r>
        <w:t xml:space="preserve">distribution, Welch’s two-sample</w:t>
      </w:r>
      <w:r>
        <w:t xml:space="preserve"> </w:t>
      </w:r>
      <w:r>
        <w:rPr>
          <w:i/>
          <w:iCs/>
        </w:rPr>
        <w:t xml:space="preserve">t</w:t>
      </w:r>
      <w:r>
        <w:t xml:space="preserve">, building a data-generating process from</w:t>
      </w:r>
      <w:r>
        <w:t xml:space="preserve"> </w:t>
      </w:r>
      <w:r>
        <w:t xml:space="preserve">interchangeable parts, and false positives under the null, the revised text</w:t>
      </w:r>
      <w:r>
        <w:t xml:space="preserve"> </w:t>
      </w:r>
      <w:r>
        <w:t xml:space="preserve">gives the target audience, the mode of use (in-lecture demonstration,</w:t>
      </w:r>
      <w:r>
        <w:t xml:space="preserve"> </w:t>
      </w:r>
      <w:r>
        <w:t xml:space="preserve">computer lab, homework, group exploration), an approximate duration, what the</w:t>
      </w:r>
      <w:r>
        <w:t xml:space="preserve"> </w:t>
      </w:r>
      <w:r>
        <w:t xml:space="preserve">student does and observes step by step, and the misconception or learning</w:t>
      </w:r>
      <w:r>
        <w:t xml:space="preserve"> </w:t>
      </w:r>
      <w:r>
        <w:t xml:space="preserve">objective the activity targets.</w:t>
      </w:r>
    </w:p>
    <w:p>
      <w:pPr>
        <w:pStyle w:val="BodyText"/>
      </w:pPr>
      <w:r>
        <w:rPr>
          <w:b/>
          <w:bCs/>
        </w:rPr>
        <w:t xml:space="preserve">2. A new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Teaching and learning context</w:t>
      </w:r>
      <w:r>
        <w:rPr>
          <w:b/>
          <w:bCs/>
        </w:rPr>
        <w:t xml:space="preserve"> </w:t>
      </w:r>
      <w:r>
        <w:rPr>
          <w:b/>
          <w:bCs/>
        </w:rPr>
        <w:t xml:space="preserve">section.</w:t>
      </w:r>
      <w:r>
        <w:t xml:space="preserve"> </w:t>
      </w:r>
      <w:r>
        <w:t xml:space="preserve">Inserted before the</w:t>
      </w:r>
      <w:r>
        <w:t xml:space="preserve"> </w:t>
      </w:r>
      <w:r>
        <w:t xml:space="preserve">lessons, this section identifies the three audiences the tool serves</w:t>
      </w:r>
      <w:r>
        <w:t xml:space="preserve"> </w:t>
      </w:r>
      <w:r>
        <w:t xml:space="preserve">(general-education and first quantitative courses; introductory undergraduate</w:t>
      </w:r>
      <w:r>
        <w:t xml:space="preserve"> </w:t>
      </w:r>
      <w:r>
        <w:t xml:space="preserve">statistics across the social and life sciences; methods courses for advanced</w:t>
      </w:r>
      <w:r>
        <w:t xml:space="preserve"> </w:t>
      </w:r>
      <w:r>
        <w:t xml:space="preserve">undergraduate and postgraduate students), the modes of use the lessons</w:t>
      </w:r>
      <w:r>
        <w:t xml:space="preserve"> </w:t>
      </w:r>
      <w:r>
        <w:t xml:space="preserve">support, and the pacing and preparation an instructor can expect (typical</w:t>
      </w:r>
      <w:r>
        <w:t xml:space="preserve"> </w:t>
      </w:r>
      <w:r>
        <w:t xml:space="preserve">activities 10 to 45 minutes; preparation on the order of ten minutes per</w:t>
      </w:r>
      <w:r>
        <w:t xml:space="preserve"> </w:t>
      </w:r>
      <w:r>
        <w:t xml:space="preserve">lesson; no installation on lab machines).</w:t>
      </w:r>
    </w:p>
    <w:p>
      <w:pPr>
        <w:pStyle w:val="BodyText"/>
      </w:pPr>
      <w:r>
        <w:rPr>
          <w:b/>
          <w:bCs/>
        </w:rPr>
        <w:t xml:space="preserve">3. A new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Informal feedback and design evolution</w:t>
      </w:r>
      <w:r>
        <w:rPr>
          <w:b/>
          <w:bCs/>
        </w:rPr>
        <w:t xml:space="preserve"> </w:t>
      </w:r>
      <w:r>
        <w:rPr>
          <w:b/>
          <w:bCs/>
        </w:rPr>
        <w:t xml:space="preserve">section.</w:t>
      </w:r>
      <w:r>
        <w:t xml:space="preserve"> </w:t>
      </w:r>
      <w:r>
        <w:t xml:space="preserve">The revised</w:t>
      </w:r>
      <w:r>
        <w:t xml:space="preserve"> </w:t>
      </w:r>
      <w:r>
        <w:t xml:space="preserve">manuscript describes how the tool and the paper changed in response to</w:t>
      </w:r>
      <w:r>
        <w:t xml:space="preserve"> </w:t>
      </w:r>
      <w:r>
        <w:t xml:space="preserve">informal practitioner input gathered during development: students who tried</w:t>
      </w:r>
      <w:r>
        <w:t xml:space="preserve"> </w:t>
      </w:r>
      <w:r>
        <w:t xml:space="preserve">the running application, and a small set of colleagues teaching introductory</w:t>
      </w:r>
      <w:r>
        <w:t xml:space="preserve"> </w:t>
      </w:r>
      <w:r>
        <w:t xml:space="preserve">statistics who responded to an open call for impressions, raised two recurring</w:t>
      </w:r>
      <w:r>
        <w:t xml:space="preserve"> </w:t>
      </w:r>
      <w:r>
        <w:t xml:space="preserve">themes. The first was</w:t>
      </w:r>
      <w:r>
        <w:t xml:space="preserve"> </w:t>
      </w:r>
      <w:r>
        <w:rPr>
          <w:i/>
          <w:iCs/>
        </w:rPr>
        <w:t xml:space="preserve">applicability</w:t>
      </w:r>
      <w:r>
        <w:t xml:space="preserve"> </w:t>
      </w:r>
      <w:r>
        <w:t xml:space="preserve">to a specific course’s teaching goals;</w:t>
      </w:r>
      <w:r>
        <w:t xml:space="preserve"> </w:t>
      </w:r>
      <w:r>
        <w:t xml:space="preserve">the second was the</w:t>
      </w:r>
      <w:r>
        <w:t xml:space="preserve"> </w:t>
      </w:r>
      <w:r>
        <w:rPr>
          <w:i/>
          <w:iCs/>
        </w:rPr>
        <w:t xml:space="preserve">activation cost</w:t>
      </w:r>
      <w:r>
        <w:t xml:space="preserve"> </w:t>
      </w:r>
      <w:r>
        <w:t xml:space="preserve">of a node-and-cable interface for</w:t>
      </w:r>
      <w:r>
        <w:t xml:space="preserve"> </w:t>
      </w:r>
      <w:r>
        <w:t xml:space="preserve">first-time users. The manuscript now traces two concrete design responses:</w:t>
      </w:r>
      <w:r>
        <w:t xml:space="preserve"> </w:t>
      </w:r>
      <w:r>
        <w:t xml:space="preserve">the new</w:t>
      </w:r>
      <w:r>
        <w:t xml:space="preserve"> </w:t>
      </w:r>
      <w:r>
        <w:rPr>
          <w:i/>
          <w:iCs/>
        </w:rPr>
        <w:t xml:space="preserve">Teaching and learning context</w:t>
      </w:r>
      <w:r>
        <w:t xml:space="preserve"> </w:t>
      </w:r>
      <w:r>
        <w:t xml:space="preserve">section and the expanded lessons</w:t>
      </w:r>
      <w:r>
        <w:t xml:space="preserve"> </w:t>
      </w:r>
      <w:r>
        <w:t xml:space="preserve">address the applicability concern, and a guided four-step tour added to the</w:t>
      </w:r>
      <w:r>
        <w:t xml:space="preserve"> </w:t>
      </w:r>
      <w:r>
        <w:t xml:space="preserve">application itself addresses the on-ramp concern. Because the input was</w:t>
      </w:r>
      <w:r>
        <w:t xml:space="preserve"> </w:t>
      </w:r>
      <w:r>
        <w:t xml:space="preserve">solicited as service-improvement feedback rather than as human-subjects</w:t>
      </w:r>
      <w:r>
        <w:t xml:space="preserve"> </w:t>
      </w:r>
      <w:r>
        <w:t xml:space="preserve">research, the section reports themes in aggregate form only; no identifying</w:t>
      </w:r>
      <w:r>
        <w:t xml:space="preserve"> </w:t>
      </w:r>
      <w:r>
        <w:t xml:space="preserve">or quantified data are presented, and a brief note to that effect appears in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Disclosure statement</w:t>
      </w:r>
      <w:r>
        <w:t xml:space="preserve">. The</w:t>
      </w:r>
      <w:r>
        <w:t xml:space="preserve"> </w:t>
      </w:r>
      <w:r>
        <w:rPr>
          <w:i/>
          <w:iCs/>
        </w:rPr>
        <w:t xml:space="preserve">Limitations</w:t>
      </w:r>
      <w:r>
        <w:t xml:space="preserve"> </w:t>
      </w:r>
      <w:r>
        <w:t xml:space="preserve">are explicit on what this is</w:t>
      </w:r>
      <w:r>
        <w:t xml:space="preserve"> </w:t>
      </w:r>
      <w:r>
        <w:t xml:space="preserve">and is not: Empiria has not been studied in a classroom or experimental</w:t>
      </w:r>
      <w:r>
        <w:t xml:space="preserve"> </w:t>
      </w:r>
      <w:r>
        <w:t xml:space="preserve">setting and we make no claim about its effect on student understanding; a</w:t>
      </w:r>
      <w:r>
        <w:t xml:space="preserve"> </w:t>
      </w:r>
      <w:r>
        <w:t xml:space="preserve">formal evaluation is identified as a possible future extension.</w:t>
      </w:r>
    </w:p>
    <w:p>
      <w:pPr>
        <w:pStyle w:val="BodyText"/>
      </w:pPr>
      <w:r>
        <w:t xml:space="preserve">Two smaller changes followed the same line of feedback. The</w:t>
      </w:r>
      <w:r>
        <w:t xml:space="preserve"> </w:t>
      </w:r>
      <w:r>
        <w:rPr>
          <w:i/>
          <w:iCs/>
        </w:rPr>
        <w:t xml:space="preserve">Computational</w:t>
      </w:r>
      <w:r>
        <w:rPr>
          <w:i/>
          <w:iCs/>
        </w:rPr>
        <w:t xml:space="preserve"> </w:t>
      </w:r>
      <w:r>
        <w:rPr>
          <w:i/>
          <w:iCs/>
        </w:rPr>
        <w:t xml:space="preserve">footprint</w:t>
      </w:r>
      <w:r>
        <w:t xml:space="preserve"> </w:t>
      </w:r>
      <w:r>
        <w:t xml:space="preserve">paragraph has been condensed, with the full benchmark moved into</w:t>
      </w:r>
      <w:r>
        <w:t xml:space="preserve"> </w:t>
      </w:r>
      <w:r>
        <w:t xml:space="preserve">the Supplementary Materials, in keeping with the journal’s preference to</w:t>
      </w:r>
      <w:r>
        <w:t xml:space="preserve"> </w:t>
      </w:r>
      <w:r>
        <w:t xml:space="preserve">minimize formal material in the body. The numerical-correctness story is</w:t>
      </w:r>
      <w:r>
        <w:t xml:space="preserve"> </w:t>
      </w:r>
      <w:r>
        <w:t xml:space="preserve">unchanged: closed-form routines remain verified against R to machine precision</w:t>
      </w:r>
      <w:r>
        <w:t xml:space="preserve"> </w:t>
      </w:r>
      <w:r>
        <w:t xml:space="preserve">by an automated suite of 41 checks, with an independent R reference script</w:t>
      </w:r>
      <w:r>
        <w:t xml:space="preserve"> </w:t>
      </w:r>
      <w:r>
        <w:t xml:space="preserve">that a reviewer can rerun in minutes; the full validation table sits in the</w:t>
      </w:r>
      <w:r>
        <w:t xml:space="preserve"> </w:t>
      </w:r>
      <w:r>
        <w:t xml:space="preserve">Supplementary Materials, with the in-text section pointing to it.</w:t>
      </w:r>
    </w:p>
    <w:p>
      <w:pPr>
        <w:pStyle w:val="BodyText"/>
      </w:pPr>
      <w:r>
        <w:t xml:space="preserve">A brief word on context. I am a postdoctoral researcher at the Institute of</w:t>
      </w:r>
      <w:r>
        <w:t xml:space="preserve"> </w:t>
      </w:r>
      <w:r>
        <w:t xml:space="preserve">Communication and Public Policy at USI, where my work concerns quantitative</w:t>
      </w:r>
      <w:r>
        <w:t xml:space="preserve"> </w:t>
      </w:r>
      <w:r>
        <w:t xml:space="preserve">methods in the social sciences. Empiria grew out of an unexpected overlap</w:t>
      </w:r>
      <w:r>
        <w:t xml:space="preserve"> </w:t>
      </w:r>
      <w:r>
        <w:t xml:space="preserve">between that work and a long-standing hobby of mine, patching modular</w:t>
      </w:r>
      <w:r>
        <w:t xml:space="preserve"> </w:t>
      </w:r>
      <w:r>
        <w:t xml:space="preserve">synthesizers. A modular synth is a live, visual, tactile computer: you build</w:t>
      </w:r>
      <w:r>
        <w:t xml:space="preserve"> </w:t>
      </w:r>
      <w:r>
        <w:t xml:space="preserve">a process by wiring small modules together and hear it change as you turn a</w:t>
      </w:r>
      <w:r>
        <w:t xml:space="preserve"> </w:t>
      </w:r>
      <w:r>
        <w:t xml:space="preserve">knob. That is also the spirit of the older analog-computing tradition, in</w:t>
      </w:r>
      <w:r>
        <w:t xml:space="preserve"> </w:t>
      </w:r>
      <w:r>
        <w:t xml:space="preserve">which a calculation was something physical you could see and adjust rather</w:t>
      </w:r>
      <w:r>
        <w:t xml:space="preserve"> </w:t>
      </w:r>
      <w:r>
        <w:t xml:space="preserve">than a hidden function call. Empiria brings that sensibility to statistics, so</w:t>
      </w:r>
      <w:r>
        <w:t xml:space="preserve"> </w:t>
      </w:r>
      <w:r>
        <w:t xml:space="preserve">that the inferential workflow becomes something a student assembles, touches,</w:t>
      </w:r>
      <w:r>
        <w:t xml:space="preserve"> </w:t>
      </w:r>
      <w:r>
        <w:t xml:space="preserve">and watches respond in real time. I have written the article for</w:t>
      </w:r>
      <w:r>
        <w:t xml:space="preserve"> </w:t>
      </w:r>
      <w:r>
        <w:t xml:space="preserve">practitioners, in the hope of adding to the conversation about hands-on and</w:t>
      </w:r>
      <w:r>
        <w:t xml:space="preserve"> </w:t>
      </w:r>
      <w:r>
        <w:t xml:space="preserve">alternative ways of conveying statistical ideas.</w:t>
      </w:r>
    </w:p>
    <w:p>
      <w:pPr>
        <w:pStyle w:val="BodyText"/>
      </w:pPr>
      <w:r>
        <w:t xml:space="preserve">The manuscript is original, is not under consideration elsewhere, has a single</w:t>
      </w:r>
      <w:r>
        <w:t xml:space="preserve"> </w:t>
      </w:r>
      <w:r>
        <w:t xml:space="preserve">author with no competing interests and no funding to declare, and has been</w:t>
      </w:r>
      <w:r>
        <w:t xml:space="preserve"> </w:t>
      </w:r>
      <w:r>
        <w:t xml:space="preserve">prepared for double-blind review (a separate title page carries all</w:t>
      </w:r>
      <w:r>
        <w:t xml:space="preserve"> </w:t>
      </w:r>
      <w:r>
        <w:t xml:space="preserve">identifying information).</w:t>
      </w:r>
    </w:p>
    <w:p>
      <w:pPr>
        <w:pStyle w:val="BodyText"/>
      </w:pPr>
      <w:r>
        <w:t xml:space="preserve">Thank you for your continued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Kevin Schoenholzer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2026-05-31T14:33:58Z</dcterms:created>
  <dcterms:modified xsi:type="dcterms:W3CDTF">2026-05-31T14:33:58Z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