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Kevin Schoenholzer</w:t>
      </w:r>
      <w:r>
        <w:t xml:space="preserve"> </w:t>
      </w:r>
      <w:r>
        <w:t xml:space="preserve">Università della Svizzera italiana (USI)</w:t>
      </w:r>
      <w:r>
        <w:t xml:space="preserve"> </w:t>
      </w:r>
      <w:r>
        <w:t xml:space="preserve">Lugano, Switzerland</w:t>
      </w:r>
      <w:r>
        <w:t xml:space="preserve"> </w:t>
      </w:r>
      <w:r>
        <w:t xml:space="preserve">kevin.schoenholzer@usi.ch</w:t>
      </w:r>
    </w:p>
    <w:p>
      <w:pPr>
        <w:pStyle w:val="BodyText"/>
      </w:pPr>
      <w:r>
        <w:t xml:space="preserve">Rhys Jones</w:t>
      </w:r>
      <w:r>
        <w:t xml:space="preserve"> </w:t>
      </w:r>
      <w:r>
        <w:t xml:space="preserve">Editor,</w:t>
      </w:r>
      <w:r>
        <w:t xml:space="preserve"> </w:t>
      </w:r>
      <w:r>
        <w:rPr>
          <w:i/>
          <w:iCs/>
        </w:rPr>
        <w:t xml:space="preserve">Teaching Statistics</w:t>
      </w:r>
    </w:p>
    <w:p>
      <w:pPr>
        <w:pStyle w:val="BodyText"/>
      </w:pPr>
      <w:r>
        <w:t xml:space="preserve">Dear Dr Jones,</w:t>
      </w:r>
    </w:p>
    <w:p>
      <w:pPr>
        <w:pStyle w:val="BodyText"/>
      </w:pPr>
      <w:r>
        <w:t xml:space="preserve">I am pleased to submit an original article,</w:t>
      </w:r>
      <w:r>
        <w:t xml:space="preserve"> </w:t>
      </w:r>
      <w:r>
        <w:t xml:space="preserve">“Empiria: A Composable,</w:t>
      </w:r>
      <w:r>
        <w:t xml:space="preserve"> </w:t>
      </w:r>
      <w:r>
        <w:t xml:space="preserve">Browser-Based Environment for Simulation-Based Statistics Education,”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</w:t>
      </w:r>
      <w:r>
        <w:t xml:space="preserve"> </w:t>
      </w:r>
      <w:r>
        <w:rPr>
          <w:i/>
          <w:iCs/>
        </w:rPr>
        <w:t xml:space="preserve">Teaching Statistics</w:t>
      </w:r>
      <w:r>
        <w:t xml:space="preserve">.</w:t>
      </w:r>
    </w:p>
    <w:p>
      <w:pPr>
        <w:pStyle w:val="BodyText"/>
      </w:pPr>
      <w:r>
        <w:t xml:space="preserve">Simulation-based reasoning—having students build a sampling distribution</w:t>
      </w:r>
      <w:r>
        <w:t xml:space="preserve"> </w:t>
      </w:r>
      <w:r>
        <w:t xml:space="preserve">empirically before they meet it as a formula—is now a mainstream goal of</w:t>
      </w:r>
      <w:r>
        <w:t xml:space="preserve"> </w:t>
      </w:r>
      <w:r>
        <w:t xml:space="preserve">statistics teaching, but the supporting software is typically siloed: each</w:t>
      </w:r>
      <w:r>
        <w:t xml:space="preserve"> </w:t>
      </w:r>
      <w:r>
        <w:t xml:space="preserve">applet addresses one concept and cannot pass its output to the next step, so</w:t>
      </w:r>
      <w:r>
        <w:t xml:space="preserve"> </w:t>
      </w:r>
      <w:r>
        <w:t xml:space="preserve">the workflow students must internalize stays implicit. The article introduces</w:t>
      </w:r>
      <w:r>
        <w:t xml:space="preserve"> </w:t>
      </w:r>
      <w:r>
        <w:t xml:space="preserve">Empiria, a free, open-source, browser-based environment that makes that</w:t>
      </w:r>
      <w:r>
        <w:t xml:space="preserve"> </w:t>
      </w:r>
      <w:r>
        <w:t xml:space="preserve">workflow explicit by representing it as a composable dataflow graph: students</w:t>
      </w:r>
      <w:r>
        <w:t xml:space="preserve"> </w:t>
      </w:r>
      <w:r>
        <w:t xml:space="preserve">wire small modules together and watch every intermediate quantity update in</w:t>
      </w:r>
      <w:r>
        <w:t xml:space="preserve"> </w:t>
      </w:r>
      <w:r>
        <w:t xml:space="preserve">real time. It requires no installation, runs on any modern device (including</w:t>
      </w:r>
      <w:r>
        <w:t xml:space="preserve"> </w:t>
      </w:r>
      <w:r>
        <w:t xml:space="preserve">Chromebooks and tablets), and ships sixteen ready-to-use lesson worksheets and</w:t>
      </w:r>
      <w:r>
        <w:t xml:space="preserve"> </w:t>
      </w:r>
      <w:r>
        <w:t xml:space="preserve">a short guided tour, so an instructor can adopt it without preparation.</w:t>
      </w:r>
    </w:p>
    <w:p>
      <w:pPr>
        <w:pStyle w:val="BodyText"/>
      </w:pPr>
      <w:r>
        <w:t xml:space="preserve">I believe the article fits the journal’s emphasis on good practice in teaching</w:t>
      </w:r>
      <w:r>
        <w:t xml:space="preserve"> </w:t>
      </w:r>
      <w:r>
        <w:t xml:space="preserve">in three ways. First, it offers a concrete, classroom-ready way to teach the</w:t>
      </w:r>
      <w:r>
        <w:t xml:space="preserve"> </w:t>
      </w:r>
      <w:r>
        <w:t xml:space="preserve">inferential workflow as a single connected picture rather than a sequence of</w:t>
      </w:r>
      <w:r>
        <w:t xml:space="preserve"> </w:t>
      </w:r>
      <w:r>
        <w:t xml:space="preserve">disconnected demonstrations, with bundled activities that span</w:t>
      </w:r>
      <w:r>
        <w:t xml:space="preserve"> </w:t>
      </w:r>
      <w:r>
        <w:t xml:space="preserve">general-education through introductory and graduate courses. Second, it is</w:t>
      </w:r>
      <w:r>
        <w:t xml:space="preserve"> </w:t>
      </w:r>
      <w:r>
        <w:t xml:space="preserve">grounded in the statistics-education literature on dynamic visualization and</w:t>
      </w:r>
      <w:r>
        <w:t xml:space="preserve"> </w:t>
      </w:r>
      <w:r>
        <w:t xml:space="preserve">simulation-based inference. Third, and unusually for a teaching tool, its</w:t>
      </w:r>
      <w:r>
        <w:t xml:space="preserve"> </w:t>
      </w:r>
      <w:r>
        <w:t xml:space="preserve">numerical routines use exact recipes rather than normal-theory approximations</w:t>
      </w:r>
      <w:r>
        <w:t xml:space="preserve"> </w:t>
      </w:r>
      <w:r>
        <w:t xml:space="preserve">and are verified against R to machine precision by an automated test suite,</w:t>
      </w:r>
      <w:r>
        <w:t xml:space="preserve"> </w:t>
      </w:r>
      <w:r>
        <w:t xml:space="preserve">with a script that regenerates every reference value independently—so the</w:t>
      </w:r>
      <w:r>
        <w:t xml:space="preserve"> </w:t>
      </w:r>
      <w:r>
        <w:t xml:space="preserve">numbers an instructor puts in front of students are auditable, not merely</w:t>
      </w:r>
      <w:r>
        <w:t xml:space="preserve"> </w:t>
      </w:r>
      <w:r>
        <w:t xml:space="preserve">plausible.</w:t>
      </w:r>
    </w:p>
    <w:p>
      <w:pPr>
        <w:pStyle w:val="BodyText"/>
      </w:pPr>
      <w:r>
        <w:t xml:space="preserve">The article describes an educational technology and its design rationale; it</w:t>
      </w:r>
      <w:r>
        <w:t xml:space="preserve"> </w:t>
      </w:r>
      <w:r>
        <w:t xml:space="preserve">does not yet report a classroom evaluation, which it states explicitly and</w:t>
      </w:r>
      <w:r>
        <w:t xml:space="preserve"> </w:t>
      </w:r>
      <w:r>
        <w:t xml:space="preserve">frames as planned future work. The software is freely available, so reviewers</w:t>
      </w:r>
      <w:r>
        <w:t xml:space="preserve"> </w:t>
      </w:r>
      <w:r>
        <w:t xml:space="preserve">can use it directly and inspect its source and tests. As a disclosure, AI-based</w:t>
      </w:r>
      <w:r>
        <w:t xml:space="preserve"> </w:t>
      </w:r>
      <w:r>
        <w:t xml:space="preserve">coding assistants were used as programming aids during the software’s</w:t>
      </w:r>
      <w:r>
        <w:t xml:space="preserve"> </w:t>
      </w:r>
      <w:r>
        <w:t xml:space="preserve">development; all statistical methods and results were specified by the author</w:t>
      </w:r>
      <w:r>
        <w:t xml:space="preserve"> </w:t>
      </w:r>
      <w:r>
        <w:t xml:space="preserve">and verified against the independent references described in the manuscript.</w:t>
      </w:r>
    </w:p>
    <w:p>
      <w:pPr>
        <w:pStyle w:val="BodyText"/>
      </w:pPr>
      <w:r>
        <w:t xml:space="preserve">The manuscript is original, is not under consideration elsewhere, has a single</w:t>
      </w:r>
      <w:r>
        <w:t xml:space="preserve"> </w:t>
      </w:r>
      <w:r>
        <w:t xml:space="preserve">author with no competing interests and no funding to declare, and has been</w:t>
      </w:r>
      <w:r>
        <w:t xml:space="preserve"> </w:t>
      </w:r>
      <w:r>
        <w:t xml:space="preserve">prepared for double-blind review (a separate title page carries all</w:t>
      </w:r>
      <w:r>
        <w:t xml:space="preserve"> </w:t>
      </w:r>
      <w:r>
        <w:t xml:space="preserve">identifying information).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Kevin Schoenholzer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2026-05-27T15:05:02Z</dcterms:created>
  <dcterms:modified xsi:type="dcterms:W3CDTF">2026-05-27T15:05:02Z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