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 Materials — Empiria: A Composable, Browser-Based Environment for Simulation-Based Statistics Education</w:t>
      </w:r>
    </w:p>
    <w:p>
      <w:pPr>
        <w:pStyle w:val="Date"/>
      </w:pPr>
      <w:r>
        <w:t xml:space="preserve">May 2026</w:t>
      </w:r>
    </w:p>
    <w:p>
      <w:pPr>
        <w:pStyle w:val="FirstParagraph"/>
      </w:pPr>
      <w:r>
        <w:t xml:space="preserve">These Supplementary Materials document Empiria’s numerical validation,</w:t>
      </w:r>
      <w:r>
        <w:t xml:space="preserve"> </w:t>
      </w:r>
      <w:r>
        <w:t xml:space="preserve">reproducibility procedures, computational footprint, module library, and</w:t>
      </w:r>
      <w:r>
        <w:t xml:space="preserve"> </w:t>
      </w:r>
      <w:r>
        <w:t xml:space="preserve">bundled lessons. It supplements the main article; everything reported here is</w:t>
      </w:r>
      <w:r>
        <w:t xml:space="preserve"> </w:t>
      </w:r>
      <w:r>
        <w:t xml:space="preserve">openly available in the repository and can be regenerated by a reviewer in a</w:t>
      </w:r>
      <w:r>
        <w:t xml:space="preserve"> </w:t>
      </w:r>
      <w:r>
        <w:t xml:space="preserve">few minutes. Section references (§) point to the main article.</w:t>
      </w:r>
    </w:p>
    <w:bookmarkStart w:id="12" w:name="Xf73793c38f9abde196ee4de362422d33f66ecd8"/>
    <w:p>
      <w:pPr>
        <w:pStyle w:val="Heading1"/>
      </w:pPr>
      <w:r>
        <w:t xml:space="preserve">Appendix A — Numerical validation against R</w:t>
      </w:r>
    </w:p>
    <w:p>
      <w:pPr>
        <w:pStyle w:val="FirstParagraph"/>
      </w:pPr>
      <w:r>
        <w:t xml:space="preserve">Empiria’s pedagogical claim rests on its numbers being</w:t>
      </w:r>
      <w:r>
        <w:t xml:space="preserve"> </w:t>
      </w:r>
      <w:r>
        <w:rPr>
          <w:i/>
          <w:iCs/>
        </w:rPr>
        <w:t xml:space="preserve">exactly right</w:t>
      </w:r>
      <w:r>
        <w:t xml:space="preserve">, not</w:t>
      </w:r>
      <w:r>
        <w:t xml:space="preserve"> </w:t>
      </w:r>
      <w:r>
        <w:t xml:space="preserve">“good enough for a demo.”</w:t>
      </w:r>
      <w:r>
        <w:t xml:space="preserve"> </w:t>
      </w:r>
      <w:r>
        <w:t xml:space="preserve">Every statistical routine is checked against an</w:t>
      </w:r>
      <w:r>
        <w:t xml:space="preserve"> </w:t>
      </w:r>
      <w:r>
        <w:t xml:space="preserve">authoritative reference implementation to the stated tolerance — to machine</w:t>
      </w:r>
      <w:r>
        <w:t xml:space="preserve"> </w:t>
      </w:r>
      <w:r>
        <w:t xml:space="preserve">precision unless a Monte-Carlo tolerance is noted (§ Numerical correctness and</w:t>
      </w:r>
      <w:r>
        <w:t xml:space="preserve"> </w:t>
      </w:r>
      <w:r>
        <w:t xml:space="preserve">reproducibility).</w:t>
      </w:r>
    </w:p>
    <w:bookmarkStart w:id="9" w:name="X0f9fe189386c70eee0941eae290d594a5b59f91"/>
    <w:p>
      <w:pPr>
        <w:pStyle w:val="Heading2"/>
      </w:pPr>
      <w:r>
        <w:t xml:space="preserve">A.1 Reproducing the validation (a reviewer, in three commands)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           </w:t>
      </w:r>
      <w:r>
        <w:rPr>
          <w:rStyle w:val="CommentTok"/>
        </w:rPr>
        <w:t xml:space="preserve"># 41 automated checks against R, all green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verify                 </w:t>
      </w:r>
      <w:r>
        <w:rPr>
          <w:rStyle w:val="CommentTok"/>
        </w:rPr>
        <w:t xml:space="preserve"># the same numerics, printed beside their R values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benchmark              </w:t>
      </w:r>
      <w:r>
        <w:rPr>
          <w:rStyle w:val="CommentTok"/>
        </w:rPr>
        <w:t xml:space="preserve"># engine throughput (Appendix B)</w:t>
      </w:r>
    </w:p>
    <w:p>
      <w:pPr>
        <w:pStyle w:val="FirstParagraph"/>
      </w:pPr>
      <w:r>
        <w:t xml:space="preserve">To confirm the</w:t>
      </w:r>
      <w:r>
        <w:t xml:space="preserve"> </w:t>
      </w:r>
      <w:r>
        <w:rPr>
          <w:i/>
          <w:iCs/>
        </w:rPr>
        <w:t xml:space="preserve">reference values themselves</w:t>
      </w:r>
      <w:r>
        <w:t xml:space="preserve"> </w:t>
      </w:r>
      <w:r>
        <w:t xml:space="preserve">— not merely that the code agrees</w:t>
      </w:r>
      <w:r>
        <w:t xml:space="preserve"> </w:t>
      </w:r>
      <w:r>
        <w:t xml:space="preserve">with our own expectations — run the independent R script and compare its</w:t>
      </w:r>
      <w:r>
        <w:t xml:space="preserve"> </w:t>
      </w:r>
      <w:r>
        <w:t xml:space="preserve">printout to the literals asserted in</w:t>
      </w:r>
      <w:r>
        <w:t xml:space="preserve"> </w:t>
      </w:r>
      <w:r>
        <w:rPr>
          <w:rStyle w:val="VerbatimChar"/>
        </w:rPr>
        <w:t xml:space="preserve">test/numerics.test.ts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Rscript</w:t>
      </w:r>
      <w:r>
        <w:rPr>
          <w:rStyle w:val="NormalTok"/>
        </w:rPr>
        <w:t xml:space="preserve"> verification/reference_values.R</w:t>
      </w:r>
    </w:p>
    <w:bookmarkEnd w:id="9"/>
    <w:bookmarkStart w:id="10" w:name="a.2-closed-form-quantities"/>
    <w:p>
      <w:pPr>
        <w:pStyle w:val="Heading2"/>
      </w:pPr>
      <w:r>
        <w:t xml:space="preserve">A.2 Closed-form quantities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Algorithm / recipe</w:t>
            </w:r>
          </w:p>
        </w:tc>
        <w:tc>
          <w:tcPr/>
          <w:p>
            <w:pPr>
              <w:pStyle w:val="Compact"/>
            </w:pPr>
            <w:r>
              <w:t xml:space="preserve">Reference (R)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Regularized incomplete beta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Lentz modified continued fraction (Press et al. 2007, §6.4)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pbeta()</w:t>
            </w:r>
          </w:p>
        </w:tc>
        <w:tc>
          <w:tcPr/>
          <w:p>
            <w:pPr>
              <w:pStyle w:val="Compact"/>
            </w:pPr>
            <w:r>
              <w:t xml:space="preserve">numerics: incomplete beta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Student-</w:t>
            </w:r>
            <w:r>
              <w:rPr>
                <w:i/>
                <w:iCs/>
              </w:rPr>
              <w:t xml:space="preserve">t</w:t>
            </w:r>
            <w:r>
              <w:t xml:space="preserve"> </w:t>
            </w:r>
            <w:r>
              <w:t xml:space="preserve">two-tailed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d</m:t>
                  </m:r>
                  <m:r>
                    <m:t>f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t>f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, exact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2*pt(-|t|, df)</w:t>
            </w:r>
          </w:p>
        </w:tc>
        <w:tc>
          <w:tcPr/>
          <w:p>
            <w:pPr>
              <w:pStyle w:val="Compact"/>
            </w:pPr>
            <w:r>
              <w:t xml:space="preserve">numerics: student-t 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Student-</w:t>
            </w:r>
            <w:r>
              <w:rPr>
                <w:i/>
                <w:iCs/>
              </w:rPr>
              <w:t xml:space="preserve">t</w:t>
            </w:r>
            <w:r>
              <w:t xml:space="preserve"> </w:t>
            </w:r>
            <w:r>
              <w:t xml:space="preserve">critical value</w:t>
            </w:r>
          </w:p>
        </w:tc>
        <w:tc>
          <w:tcPr/>
          <w:p>
            <w:pPr>
              <w:pStyle w:val="Compact"/>
            </w:pPr>
            <w:r>
              <w:t xml:space="preserve">bisection on the exact 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qt(1-alpha/2, df)</w:t>
            </w:r>
          </w:p>
        </w:tc>
        <w:tc>
          <w:tcPr/>
          <w:p>
            <w:pPr>
              <w:pStyle w:val="Compact"/>
            </w:pPr>
            <w:r>
              <w:t xml:space="preserve">numerics: t 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Incomplete gamma / χ² tail</w:t>
            </w:r>
          </w:p>
        </w:tc>
        <w:tc>
          <w:tcPr/>
          <w:p>
            <w:pPr>
              <w:pStyle w:val="Compact"/>
            </w:pPr>
            <w:r>
              <w:t xml:space="preserve">series + continued-fraction switch (§6.2)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pchisq(.., lower.tail=F)</w:t>
            </w:r>
          </w:p>
        </w:tc>
        <w:tc>
          <w:tcPr/>
          <w:p>
            <w:pPr>
              <w:pStyle w:val="Compact"/>
            </w:pPr>
            <w:r>
              <w:t xml:space="preserve">numerics: chi-square 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 CDF</w:t>
            </w:r>
          </w:p>
        </w:tc>
        <w:tc>
          <w:tcPr/>
          <w:p>
            <w:pPr>
              <w:pStyle w:val="Compact"/>
            </w:pPr>
            <w:r>
              <w:t xml:space="preserve">Abramowitz &amp; Stegun 7.1.26</w:t>
            </w:r>
            <w:r>
              <w:t xml:space="preserve"> </w:t>
            </w:r>
            <w:r>
              <w:rPr>
                <w:rStyle w:val="VerbatimChar"/>
              </w:rPr>
              <w:t xml:space="preserve">erf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pnorm()</w:t>
            </w:r>
          </w:p>
        </w:tc>
        <w:tc>
          <w:tcPr/>
          <w:p>
            <w:pPr>
              <w:pStyle w:val="Compact"/>
            </w:pPr>
            <w:r>
              <w:t xml:space="preserve">numerics: normal cdf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 quantile</w:t>
            </w:r>
          </w:p>
        </w:tc>
        <w:tc>
          <w:tcPr/>
          <w:p>
            <w:pPr>
              <w:pStyle w:val="Compact"/>
            </w:pPr>
            <w:r>
              <w:t xml:space="preserve">Acklam rational approx. (rel. err &lt; 1.15e-9)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qnorm()</w:t>
            </w:r>
          </w:p>
        </w:tc>
        <w:tc>
          <w:tcPr/>
          <w:p>
            <w:pPr>
              <w:pStyle w:val="Compact"/>
            </w:pPr>
            <w:r>
              <w:t xml:space="preserve">numerics: normal quantile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One-sample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t xml:space="preserve">-test</w:t>
            </w:r>
          </w:p>
        </w:tc>
        <w:tc>
          <w:tcPr/>
          <w:p>
            <w:pPr>
              <w:pStyle w:val="Compact"/>
            </w:pP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)</m:t>
              </m:r>
            </m:oMath>
            <w:r>
              <w:t xml:space="preserve">, exact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t.test(x, mu)</w:t>
            </w:r>
          </w:p>
        </w:tc>
        <w:tc>
          <w:tcPr/>
          <w:p>
            <w:pPr>
              <w:pStyle w:val="Compact"/>
            </w:pPr>
            <w:r>
              <w:t xml:space="preserve">numerics: one-sample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Welch two-sample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unequal-variance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t xml:space="preserve">, Welch–Satterthwaite 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t.test(a, b)</w:t>
            </w:r>
          </w:p>
        </w:tc>
        <w:tc>
          <w:tcPr/>
          <w:p>
            <w:pPr>
              <w:pStyle w:val="Compact"/>
            </w:pPr>
            <w:r>
              <w:t xml:space="preserve">numerics: Welch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Simple OLS (β, α, R²)</w:t>
            </w:r>
          </w:p>
        </w:tc>
        <w:tc>
          <w:tcPr/>
          <w:p>
            <w:pPr>
              <w:pStyle w:val="Compact"/>
            </w:pPr>
            <w:r>
              <w:t xml:space="preserve">closed-form least squares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lm(y ~ x)</w:t>
            </w:r>
          </w:p>
        </w:tc>
        <w:tc>
          <w:tcPr/>
          <w:p>
            <w:pPr>
              <w:pStyle w:val="Compact"/>
            </w:pPr>
            <w:r>
              <w:t xml:space="preserve">numerics: 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Contingency χ² + Cramér’s V</w:t>
            </w:r>
          </w:p>
        </w:tc>
        <w:tc>
          <w:tcPr/>
          <w:p>
            <w:pPr>
              <w:pStyle w:val="Compact"/>
            </w:pPr>
            <w:r>
              <w:t xml:space="preserve">Pearson χ² (no Yates correction)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chisq.test(m, correct=F)</w:t>
            </w:r>
          </w:p>
        </w:tc>
        <w:tc>
          <w:tcPr/>
          <w:p>
            <w:pPr>
              <w:pStyle w:val="Compact"/>
            </w:pPr>
            <w:r>
              <w:t xml:space="preserve">numerics: contingency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Autocorrelation ρ(k)</w:t>
            </w:r>
          </w:p>
        </w:tc>
        <w:tc>
          <w:tcPr/>
          <w:p>
            <w:pPr>
              <w:pStyle w:val="Compact"/>
            </w:pPr>
            <w:r>
              <w:t xml:space="preserve">n-divisor sample ACF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acf(x)$acf</w:t>
            </w:r>
          </w:p>
        </w:tc>
        <w:tc>
          <w:tcPr/>
          <w:p>
            <w:pPr>
              <w:pStyle w:val="Compact"/>
            </w:pPr>
            <w:r>
              <w:t xml:space="preserve">numerics: autocorrelation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Quantiles</w:t>
            </w:r>
          </w:p>
        </w:tc>
        <w:tc>
          <w:tcPr/>
          <w:p>
            <w:pPr>
              <w:pStyle w:val="Compact"/>
            </w:pPr>
            <w:r>
              <w:t xml:space="preserve">linear interpolation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quantile()</w:t>
            </w:r>
            <w:r>
              <w:t xml:space="preserve"> </w:t>
            </w:r>
            <w:r>
              <w:t xml:space="preserve">type 7</w:t>
            </w:r>
          </w:p>
        </w:tc>
        <w:tc>
          <w:tcPr/>
          <w:p>
            <w:pPr>
              <w:pStyle w:val="Compact"/>
            </w:pPr>
            <w:r>
              <w:t xml:space="preserve">numerics: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Skewness / excess kurtosis</w:t>
            </w:r>
          </w:p>
        </w:tc>
        <w:tc>
          <w:tcPr/>
          <w:p>
            <w:pPr>
              <w:pStyle w:val="Compact"/>
            </w:pPr>
            <w:r>
              <w:t xml:space="preserve">moment estimators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e1071::skewness/kurtosis</w:t>
            </w:r>
          </w:p>
        </w:tc>
        <w:tc>
          <w:tcPr/>
          <w:p>
            <w:pPr>
              <w:pStyle w:val="Compact"/>
            </w:pPr>
            <w:r>
              <w:t xml:space="preserve">numerics: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BCa bootstrap interval</w:t>
            </w:r>
          </w:p>
        </w:tc>
        <w:tc>
          <w:tcPr/>
          <w:p>
            <w:pPr>
              <w:pStyle w:val="Compact"/>
            </w:pPr>
            <w:r>
              <w:t xml:space="preserve">bias-correction</w:t>
            </w:r>
            <w: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+ jackknife accel. (Efron 1987)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boot::boot.ci("bca")</w:t>
            </w:r>
            <w:r>
              <w:t xml:space="preserve"> </w:t>
            </w:r>
            <w:r>
              <w:t xml:space="preserve">(to MC error)</w:t>
            </w:r>
          </w:p>
        </w:tc>
        <w:tc>
          <w:tcPr/>
          <w:p>
            <w:pPr>
              <w:pStyle w:val="Compact"/>
            </w:pPr>
            <w:r>
              <w:t xml:space="preserve">engine: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RNG</w:t>
            </w:r>
          </w:p>
        </w:tc>
        <w:tc>
          <w:tcPr/>
          <w:p>
            <w:pPr>
              <w:pStyle w:val="Compact"/>
            </w:pPr>
            <w:r>
              <w:t xml:space="preserve">MT19937 (Matsumoto &amp; Nishimura 1998)</w:t>
            </w:r>
          </w:p>
        </w:tc>
        <w:tc>
          <w:tcPr/>
          <w:p>
            <w:pPr>
              <w:pStyle w:val="Compact"/>
            </w:pPr>
            <w:r>
              <w:t xml:space="preserve">canonical test vector</w:t>
            </w:r>
          </w:p>
        </w:tc>
        <w:tc>
          <w:tcPr/>
          <w:p>
            <w:pPr>
              <w:pStyle w:val="Compact"/>
            </w:pPr>
            <w:r>
              <w:t xml:space="preserve">numerics: MT19937</w:t>
            </w:r>
          </w:p>
        </w:tc>
      </w:tr>
    </w:tbl>
    <w:bookmarkEnd w:id="10"/>
    <w:bookmarkStart w:id="11" w:name="X650ab945d236052bc111c7b50abd061d7a7a407"/>
    <w:p>
      <w:pPr>
        <w:pStyle w:val="Heading2"/>
      </w:pPr>
      <w:r>
        <w:t xml:space="preserve">A.3 Behavioural / statistical-property checks</w:t>
      </w:r>
    </w:p>
    <w:p>
      <w:pPr>
        <w:pStyle w:val="FirstParagraph"/>
      </w:pPr>
      <w:r>
        <w:t xml:space="preserve">These assert that the</w:t>
      </w:r>
      <w:r>
        <w:t xml:space="preserve"> </w:t>
      </w:r>
      <w:r>
        <w:rPr>
          <w:i/>
          <w:iCs/>
        </w:rPr>
        <w:t xml:space="preserve">system</w:t>
      </w:r>
      <w:r>
        <w:t xml:space="preserve"> </w:t>
      </w:r>
      <w:r>
        <w:t xml:space="preserve">behaves correctly, not just that individual</w:t>
      </w:r>
      <w:r>
        <w:t xml:space="preserve"> </w:t>
      </w:r>
      <w:r>
        <w:t xml:space="preserve">formulas evaluate: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Determinism.</w:t>
      </w:r>
      <w:r>
        <w:t xml:space="preserve"> </w:t>
      </w:r>
      <w:r>
        <w:t xml:space="preserve">The same master seed produces a byte-identical signal stream; a different seed produces a different 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MT19937 test vector.</w:t>
      </w:r>
      <w:r>
        <w:t xml:space="preserve"> </w:t>
      </w:r>
      <w:r>
        <w:t xml:space="preserve">Seed 5489 → first output</w:t>
      </w:r>
      <w:r>
        <w:t xml:space="preserve"> </w:t>
      </w:r>
      <w:r>
        <w:rPr>
          <w:rStyle w:val="VerbatimChar"/>
        </w:rPr>
        <w:t xml:space="preserve">3499211612</w:t>
      </w:r>
      <w:r>
        <w:t xml:space="preserve">, the documented reference output of the canonical generator.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Law of Large Numbers.</w:t>
      </w:r>
      <w:r>
        <w:t xml:space="preserve"> </w:t>
      </w:r>
      <w:r>
        <w:t xml:space="preserve">A growing sample’s mean → µ and SE → 0 (≈ 1/√n).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Node matches library.</w:t>
      </w:r>
      <w:r>
        <w:t xml:space="preserve"> </w:t>
      </w:r>
      <w:r>
        <w:t xml:space="preserve">A node’s reported statistic equals a direct library call on its own buffer to &lt; 1e-9.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 coverage.</w:t>
      </w:r>
      <w:r>
        <w:t xml:space="preserve"> </w:t>
      </w:r>
      <w:r>
        <w:t xml:space="preserve">Over ~500 repeated experiments, the nominal-95%</w:t>
      </w:r>
      <w:r>
        <w:t xml:space="preserve"> </w:t>
      </w:r>
      <w:r>
        <w:rPr>
          <w:i/>
          <w:iCs/>
        </w:rPr>
        <w:t xml:space="preserve">t</w:t>
      </w:r>
      <w:r>
        <w:t xml:space="preserve">-interval covers the true mean 90–99% of the time.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Type-I error.</w:t>
      </w:r>
      <w:r>
        <w:t xml:space="preserve"> </w:t>
      </w:r>
      <w:r>
        <w:t xml:space="preserve">With two identical populations, the rejection rate sits near α (≈ 2–9% for α = 0.05).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Every bundled lesson and tour step</w:t>
      </w:r>
      <w:r>
        <w:t xml:space="preserve"> </w:t>
      </w:r>
      <w:r>
        <w:t xml:space="preserve">applies to a fresh graph and ticks without error.</w:t>
      </w:r>
    </w:p>
    <w:bookmarkEnd w:id="11"/>
    <w:bookmarkEnd w:id="12"/>
    <w:bookmarkStart w:id="13" w:name="appendix-b-computational-footprint"/>
    <w:p>
      <w:pPr>
        <w:pStyle w:val="Heading1"/>
      </w:pPr>
      <w:r>
        <w:t xml:space="preserve">Appendix B — Computational footprint</w:t>
      </w:r>
    </w:p>
    <w:p>
      <w:pPr>
        <w:pStyle w:val="FirstParagraph"/>
      </w:pPr>
      <w:r>
        <w:t xml:space="preserve">Empiria runs entirely in the browser: there is no server, and after the initial</w:t>
      </w:r>
      <w:r>
        <w:t xml:space="preserve"> </w:t>
      </w:r>
      <w:r>
        <w:t xml:space="preserve">download — a single static bundle of roughly</w:t>
      </w:r>
      <w:r>
        <w:t xml:space="preserve"> </w:t>
      </w:r>
      <w:r>
        <w:rPr>
          <w:b/>
          <w:bCs/>
        </w:rPr>
        <w:t xml:space="preserve">0.4 MB (about 130 KB gzipped)</w:t>
      </w:r>
      <w:r>
        <w:t xml:space="preserve"> </w:t>
      </w:r>
      <w:r>
        <w:t xml:space="preserve">—</w:t>
      </w:r>
      <w:r>
        <w:t xml:space="preserve"> </w:t>
      </w:r>
      <w:r>
        <w:t xml:space="preserve">it runs offline. The numerical workload is light and scales linearly in the</w:t>
      </w:r>
      <w:r>
        <w:t xml:space="preserve"> </w:t>
      </w:r>
      <w:r>
        <w:t xml:space="preserve">number of nodes. The benchmark below is reproducible with</w:t>
      </w:r>
      <w:r>
        <w:t xml:space="preserve"> </w:t>
      </w:r>
      <w:r>
        <w:rPr>
          <w:rStyle w:val="VerbatimChar"/>
        </w:rPr>
        <w:t xml:space="preserve">npm run benchmark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Measured on an Apple M4 (single-threaded; Node v25), warmed up. The</w:t>
      </w:r>
      <w:r>
        <w:rPr>
          <w:i/>
          <w:iCs/>
        </w:rPr>
        <w:t xml:space="preserve"> </w:t>
      </w:r>
      <w:r>
        <w:rPr>
          <w:i/>
          <w:iCs/>
        </w:rPr>
        <w:t xml:space="preserve">interactive on-screen clock is capped at a few thousand ticks/second, so for</w:t>
      </w:r>
      <w:r>
        <w:rPr>
          <w:i/>
          <w:iCs/>
        </w:rPr>
        <w:t xml:space="preserve"> </w:t>
      </w:r>
      <w:r>
        <w:rPr>
          <w:i/>
          <w:iCs/>
        </w:rPr>
        <w:t xml:space="preserve">realistic patches the render loop — not the arithmetic — is the limiting</w:t>
      </w:r>
      <w:r>
        <w:rPr>
          <w:i/>
          <w:iCs/>
        </w:rPr>
        <w:t xml:space="preserve"> </w:t>
      </w:r>
      <w:r>
        <w:rPr>
          <w:i/>
          <w:iCs/>
        </w:rPr>
        <w:t xml:space="preserve">factor, leaving ample headroom on low-power classroom hardware.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Engine throughput</w:t>
            </w:r>
          </w:p>
        </w:tc>
        <w:tc>
          <w:tcPr/>
          <w:p>
            <w:pPr>
              <w:pStyle w:val="Compact"/>
            </w:pPr>
            <w:r>
              <w:t xml:space="preserve">Per tick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Typical (2 nodes)</w:t>
            </w:r>
          </w:p>
        </w:tc>
        <w:tc>
          <w:tcPr/>
          <w:p>
            <w:pPr>
              <w:pStyle w:val="Compact"/>
            </w:pPr>
            <w:r>
              <w:t xml:space="preserve">≈ 2,600,000 ticks/s</w:t>
            </w:r>
          </w:p>
        </w:tc>
        <w:tc>
          <w:tcPr/>
          <w:p>
            <w:pPr>
              <w:pStyle w:val="Compact"/>
            </w:pPr>
            <w:r>
              <w:t xml:space="preserve">0.38 µs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Busy canvas (16 nodes)</w:t>
            </w:r>
          </w:p>
        </w:tc>
        <w:tc>
          <w:tcPr/>
          <w:p>
            <w:pPr>
              <w:pStyle w:val="Compact"/>
            </w:pPr>
            <w:r>
              <w:t xml:space="preserve">≈ 330,000 ticks/s</w:t>
            </w:r>
          </w:p>
        </w:tc>
        <w:tc>
          <w:tcPr/>
          <w:p>
            <w:pPr>
              <w:pStyle w:val="Compact"/>
            </w:pPr>
            <w:r>
              <w:t xml:space="preserve">3.0 µs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Busy canvas (64 nodes)</w:t>
            </w:r>
          </w:p>
        </w:tc>
        <w:tc>
          <w:tcPr/>
          <w:p>
            <w:pPr>
              <w:pStyle w:val="Compact"/>
            </w:pPr>
            <w:r>
              <w:t xml:space="preserve">≈ 59,000 ticks/s</w:t>
            </w:r>
          </w:p>
        </w:tc>
        <w:tc>
          <w:tcPr/>
          <w:p>
            <w:pPr>
              <w:pStyle w:val="Compact"/>
            </w:pPr>
            <w:r>
              <w:t xml:space="preserve">17 µs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Very large (256 nodes)</w:t>
            </w:r>
          </w:p>
        </w:tc>
        <w:tc>
          <w:tcPr/>
          <w:p>
            <w:pPr>
              <w:pStyle w:val="Compact"/>
            </w:pPr>
            <w:r>
              <w:t xml:space="preserve">≈ 6,700 ticks/s</w:t>
            </w:r>
          </w:p>
        </w:tc>
        <w:tc>
          <w:tcPr/>
          <w:p>
            <w:pPr>
              <w:pStyle w:val="Compact"/>
            </w:pPr>
            <w:r>
              <w:t xml:space="preserve">149 µs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 (1024 nodes)</w:t>
            </w:r>
          </w:p>
        </w:tc>
        <w:tc>
          <w:tcPr/>
          <w:p>
            <w:pPr>
              <w:pStyle w:val="Compact"/>
            </w:pPr>
            <w:r>
              <w:t xml:space="preserve">≈ 530 ticks/s (~80 MB heap)</w:t>
            </w:r>
          </w:p>
        </w:tc>
        <w:tc>
          <w:tcPr/>
          <w:p>
            <w:pPr>
              <w:pStyle w:val="Compact"/>
            </w:pPr>
            <w:r>
              <w:t xml:space="preserve">1.9 ms</w:t>
            </w:r>
          </w:p>
        </w:tc>
      </w:tr>
    </w:tbl>
    <w:bookmarkEnd w:id="13"/>
    <w:bookmarkStart w:id="14" w:name="X6db17b076d205823721ef7d117d3d3e1195124d"/>
    <w:p>
      <w:pPr>
        <w:pStyle w:val="Heading1"/>
      </w:pPr>
      <w:r>
        <w:t xml:space="preserve">Appendix C — Reproducibility and cross-machine determinism</w:t>
      </w:r>
    </w:p>
    <w:p>
      <w:pPr>
        <w:pStyle w:val="Compact"/>
        <w:numPr>
          <w:ilvl w:val="0"/>
          <w:numId w:val="1002"/>
        </w:numPr>
      </w:pPr>
      <w:r>
        <w:t xml:space="preserve">All randomness flows from a seeded</w:t>
      </w:r>
      <w:r>
        <w:t xml:space="preserve"> </w:t>
      </w:r>
      <w:r>
        <w:rPr>
          <w:b/>
          <w:bCs/>
        </w:rPr>
        <w:t xml:space="preserve">MT19937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src/engine/rng.ts</w:t>
      </w:r>
      <w:r>
        <w:t xml:space="preserve">);</w:t>
      </w:r>
      <w:r>
        <w:t xml:space="preserve"> </w:t>
      </w:r>
      <w:r>
        <w:rPr>
          <w:rStyle w:val="VerbatimChar"/>
        </w:rPr>
        <w:t xml:space="preserve">Math.random()</w:t>
      </w:r>
      <w:r>
        <w:t xml:space="preserve"> </w:t>
      </w:r>
      <w:r>
        <w:t xml:space="preserve">is never used.</w:t>
      </w:r>
    </w:p>
    <w:p>
      <w:pPr>
        <w:pStyle w:val="Compact"/>
        <w:numPr>
          <w:ilvl w:val="0"/>
          <w:numId w:val="1002"/>
        </w:numPr>
      </w:pPr>
      <w:r>
        <w:t xml:space="preserve">A patch is plain JSON (parameters, wiring, master seed). Loading it on any machine reconstructs identical initial conditions, computed in IEEE-754 double precision with no platform-specific code paths. Patches save as files or as shareable URLs that encode the whole simulation.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Independent audit of a worked result.</w:t>
      </w:r>
      <w:r>
        <w:t xml:space="preserve"> </w:t>
      </w:r>
      <w:r>
        <w:t xml:space="preserve">Open any patch, set the master seed, run it, and use a node’s</w:t>
      </w:r>
      <w:r>
        <w:t xml:space="preserve"> </w:t>
      </w:r>
      <w:r>
        <w:rPr>
          <w:b/>
          <w:bCs/>
        </w:rPr>
        <w:t xml:space="preserve">CSV export</w:t>
      </w:r>
      <w:r>
        <w:t xml:space="preserve">. Recompute the statistic in R/Python (</w:t>
      </w:r>
      <w:r>
        <w:rPr>
          <w:rStyle w:val="VerbatimChar"/>
        </w:rPr>
        <w:t xml:space="preserve">t.test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lm</w:t>
      </w:r>
      <w:r>
        <w:t xml:space="preserve">,</w:t>
      </w:r>
      <w:r>
        <w:t xml:space="preserve"> </w:t>
      </w:r>
      <w:r>
        <w:rPr>
          <w:rStyle w:val="VerbatimChar"/>
        </w:rPr>
        <w:t xml:space="preserve">chisq.test</w:t>
      </w:r>
      <w:r>
        <w:t xml:space="preserve">, …): it reproduces Empiria’s on-screen value to six decimals, and the same seed on a different machine yields a byte-identical export.</w:t>
      </w:r>
    </w:p>
    <w:p>
      <w:pPr>
        <w:pStyle w:val="FirstParagraph"/>
      </w:pPr>
      <w:r>
        <w:rPr>
          <w:b/>
          <w:bCs/>
        </w:rPr>
        <w:t xml:space="preserve">Scope of validation (limitations).</w:t>
      </w:r>
      <w:r>
        <w:t xml:space="preserve"> </w:t>
      </w:r>
      <w:r>
        <w:t xml:space="preserve">The BCa bootstrap is validated by its</w:t>
      </w:r>
      <w:r>
        <w:t xml:space="preserve"> </w:t>
      </w:r>
      <w:r>
        <w:rPr>
          <w:i/>
          <w:iCs/>
        </w:rPr>
        <w:t xml:space="preserve">coverage behaviour</w:t>
      </w:r>
      <w:r>
        <w:t xml:space="preserve"> </w:t>
      </w:r>
      <w:r>
        <w:t xml:space="preserve">and by exact tests of its components (</w:t>
      </w:r>
      <m:oMath>
        <m:sSub>
          <m:e>
            <m:r>
              <m:t>z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via the normal</w:t>
      </w:r>
      <w:r>
        <w:t xml:space="preserve"> </w:t>
      </w:r>
      <w:r>
        <w:t xml:space="preserve">quantile; the jackknife acceleration), not by a value-for-value match to</w:t>
      </w:r>
      <w:r>
        <w:t xml:space="preserve"> </w:t>
      </w:r>
      <w:r>
        <w:rPr>
          <w:rStyle w:val="VerbatimChar"/>
        </w:rPr>
        <w:t xml:space="preserve">boot::boot.ci</w:t>
      </w:r>
      <w:r>
        <w:t xml:space="preserve">, which would require reproducing R’s resampling RNG stream.</w:t>
      </w:r>
      <w:r>
        <w:t xml:space="preserve"> </w:t>
      </w:r>
      <w:r>
        <w:t xml:space="preserve">Confidence intervals use the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distribution (exact at small</w:t>
      </w:r>
      <w:r>
        <w:t xml:space="preserve"> </w:t>
      </w:r>
      <w:r>
        <w:rPr>
          <w:i/>
          <w:iCs/>
        </w:rPr>
        <w:t xml:space="preserve">n</w:t>
      </w:r>
      <w:r>
        <w:t xml:space="preserve">); intervals</w:t>
      </w:r>
      <w:r>
        <w:t xml:space="preserve"> </w:t>
      </w:r>
      <w:r>
        <w:t xml:space="preserve">for proportions use the normal (Wald) form.</w:t>
      </w:r>
    </w:p>
    <w:bookmarkEnd w:id="14"/>
    <w:bookmarkStart w:id="15" w:name="appendix-d-use-of-ai-coding-assistance"/>
    <w:p>
      <w:pPr>
        <w:pStyle w:val="Heading1"/>
      </w:pPr>
      <w:r>
        <w:t xml:space="preserve">Appendix D — Use of AI coding assistance</w:t>
      </w:r>
    </w:p>
    <w:p>
      <w:pPr>
        <w:pStyle w:val="FirstParagraph"/>
      </w:pPr>
      <w:r>
        <w:t xml:space="preserve">Empiria’s implementation was written with the help of AI coding assistants</w:t>
      </w:r>
      <w:r>
        <w:t xml:space="preserve"> </w:t>
      </w:r>
      <w:r>
        <w:t xml:space="preserve">(large language models). The validation in Appendix A exists precisely so that</w:t>
      </w:r>
      <w:r>
        <w:t xml:space="preserve"> </w:t>
      </w:r>
      <w:r>
        <w:t xml:space="preserve">correctness does not depend on that fact: every routine is checked against an</w:t>
      </w:r>
      <w:r>
        <w:t xml:space="preserve"> </w:t>
      </w:r>
      <w:r>
        <w:t xml:space="preserve">independent authoritative reference (R, 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package, the canonical</w:t>
      </w:r>
      <w:r>
        <w:t xml:space="preserve"> </w:t>
      </w:r>
      <w:r>
        <w:t xml:space="preserve">MT19937 test vector), and the reference values are regenerated by</w:t>
      </w:r>
      <w:r>
        <w:t xml:space="preserve"> </w:t>
      </w:r>
      <w:r>
        <w:rPr>
          <w:rStyle w:val="VerbatimChar"/>
        </w:rPr>
        <w:t xml:space="preserve">verification/reference_values.R</w:t>
      </w:r>
      <w:r>
        <w:t xml:space="preserve"> </w:t>
      </w:r>
      <w:r>
        <w:t xml:space="preserve">rather than asserted from the code’s own</w:t>
      </w:r>
      <w:r>
        <w:t xml:space="preserve"> </w:t>
      </w:r>
      <w:r>
        <w:t xml:space="preserve">output. A check that compares to R passes only if the number is right,</w:t>
      </w:r>
      <w:r>
        <w:t xml:space="preserve"> </w:t>
      </w:r>
      <w:r>
        <w:t xml:space="preserve">regardless of how the code was authored. The statistical methods, the choice of</w:t>
      </w:r>
      <w:r>
        <w:t xml:space="preserve"> </w:t>
      </w:r>
      <w:r>
        <w:t xml:space="preserve">exact recipes over normal-theory approximations, the pedagogical claims, and the</w:t>
      </w:r>
      <w:r>
        <w:t xml:space="preserve"> </w:t>
      </w:r>
      <w:r>
        <w:t xml:space="preserve">interpretation of all results were specified, reviewed, and are vouched for by</w:t>
      </w:r>
      <w:r>
        <w:t xml:space="preserve"> </w:t>
      </w:r>
      <w:r>
        <w:t xml:space="preserve">the author; the AI tools accelerated implementation and did not make statistical</w:t>
      </w:r>
      <w:r>
        <w:t xml:space="preserve"> </w:t>
      </w:r>
      <w:r>
        <w:t xml:space="preserve">decisions. The author takes full responsibility for the software and the</w:t>
      </w:r>
      <w:r>
        <w:t xml:space="preserve"> </w:t>
      </w:r>
      <w:r>
        <w:t xml:space="preserve">manuscript.</w:t>
      </w:r>
    </w:p>
    <w:bookmarkEnd w:id="15"/>
    <w:bookmarkStart w:id="16" w:name="appendix-e-module-library"/>
    <w:p>
      <w:pPr>
        <w:pStyle w:val="Heading1"/>
      </w:pPr>
      <w:r>
        <w:t xml:space="preserve">Appendix E — Module library</w:t>
      </w:r>
    </w:p>
    <w:p>
      <w:pPr>
        <w:pStyle w:val="FirstParagraph"/>
      </w:pPr>
      <w:r>
        <w:t xml:space="preserve">Modules (</w:t>
      </w:r>
      <w:r>
        <w:t xml:space="preserve">“nodes”</w:t>
      </w:r>
      <w:r>
        <w:t xml:space="preserve">) are grouped by role. Each emits its result as a control-voltage</w:t>
      </w:r>
      <w:r>
        <w:t xml:space="preserve"> </w:t>
      </w:r>
      <w:r>
        <w:t xml:space="preserve">signal that can be routed into any compatible input, and (with the formula view</w:t>
      </w:r>
      <w:r>
        <w:t xml:space="preserve"> </w:t>
      </w:r>
      <w:r>
        <w:t xml:space="preserve">on, § Pedagogical rationale) displays the quantity it computes in standard</w:t>
      </w:r>
      <w:r>
        <w:t xml:space="preserve"> </w:t>
      </w:r>
      <w:r>
        <w:t xml:space="preserve">notation.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Modules (what each computes)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Sample</w:t>
            </w:r>
            <w:r>
              <w:t xml:space="preserve"> </w:t>
            </w:r>
            <w:r>
              <w:t xml:space="preserve">(i.i.d. draws from Normal / Uniform / Exponential, with running mean and SD);</w:t>
            </w:r>
            <w:r>
              <w:t xml:space="preserve"> </w:t>
            </w:r>
            <w:r>
              <w:rPr>
                <w:b/>
                <w:bCs/>
              </w:rPr>
              <w:t xml:space="preserve">Data (CSV)</w:t>
            </w:r>
            <w:r>
              <w:t xml:space="preserve"> </w:t>
            </w:r>
            <w:r>
              <w:t xml:space="preserve">(streams an imported dataset);</w:t>
            </w:r>
            <w:r>
              <w:t xml:space="preserve"> </w:t>
            </w:r>
            <w:r>
              <w:rPr>
                <w:b/>
                <w:bCs/>
              </w:rPr>
              <w:t xml:space="preserve">Seed</w:t>
            </w:r>
            <w:r>
              <w:t xml:space="preserve"> </w:t>
            </w:r>
            <w:r>
              <w:t xml:space="preserve">(global master seed);</w:t>
            </w:r>
            <w:r>
              <w:t xml:space="preserve"> </w:t>
            </w:r>
            <w:r>
              <w:rPr>
                <w:b/>
                <w:bCs/>
              </w:rPr>
              <w:t xml:space="preserve">Note</w:t>
            </w:r>
            <w:r>
              <w:t xml:space="preserve"> </w:t>
            </w:r>
            <w:r>
              <w:t xml:space="preserve">(annotation)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Estimation &amp; summary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</w:t>
            </w:r>
            <w:r>
              <w:t xml:space="preserve"> </w:t>
            </w:r>
            <w:r>
              <w:t xml:space="preserve">(windowed/growing mean, SD, standard error);</w:t>
            </w:r>
            <w:r>
              <w:t xml:space="preserve"> </w:t>
            </w:r>
            <w:r>
              <w:rPr>
                <w:b/>
                <w:bCs/>
              </w:rPr>
              <w:t xml:space="preserve">Summary</w:t>
            </w:r>
            <w:r>
              <w:t xml:space="preserve"> </w:t>
            </w:r>
            <w:r>
              <w:t xml:space="preserve">(mean, median, SD, IQR, skew, kurtosis);</w:t>
            </w:r>
            <w:r>
              <w:t xml:space="preserve"> </w:t>
            </w:r>
            <w:r>
              <w:rPr>
                <w:b/>
                <w:bCs/>
              </w:rPr>
              <w:t xml:space="preserve">Box</w:t>
            </w:r>
            <w:r>
              <w:t xml:space="preserve"> </w:t>
            </w:r>
            <w:r>
              <w:t xml:space="preserve">(median, IQR; box-and-whisker);</w:t>
            </w:r>
            <w:r>
              <w:t xml:space="preserve"> </w:t>
            </w:r>
            <w:r>
              <w:rPr>
                <w:b/>
                <w:bCs/>
              </w:rPr>
              <w:t xml:space="preserve">Means</w:t>
            </w:r>
            <w:r>
              <w:t xml:space="preserve"> </w:t>
            </w:r>
            <w:r>
              <w:t xml:space="preserve">(batch means, for the CLT)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Inference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</w:t>
            </w:r>
            <w:r>
              <w:t xml:space="preserve"> </w:t>
            </w:r>
            <w:r>
              <w:t xml:space="preserve">(one-sample and Welch two-sample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t xml:space="preserve">: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t xml:space="preserve">, decision, Cohen’s</w:t>
            </w:r>
            <w:r>
              <w:t xml:space="preserve"> </w:t>
            </w:r>
            <w:r>
              <w:rPr>
                <w:i/>
                <w:iCs/>
              </w:rPr>
              <w:t xml:space="preserve">d</w:t>
            </w:r>
            <w:r>
              <w:t xml:space="preserve">);</w:t>
            </w:r>
            <w:r>
              <w:t xml:space="preserve"> </w:t>
            </w:r>
            <w:r>
              <w:rPr>
                <w:b/>
                <w:bCs/>
              </w:rPr>
              <w:t xml:space="preserve">Boot</w:t>
            </w:r>
            <w:r>
              <w:t xml:space="preserve"> </w:t>
            </w:r>
            <w:r>
              <w:t xml:space="preserve">(BCa bootstrap: estimate, 95% interval, SE);</w:t>
            </w:r>
            <w:r>
              <w:t xml:space="preserve"> </w:t>
            </w:r>
            <w:r>
              <w:rPr>
                <w:b/>
                <w:bCs/>
              </w:rPr>
              <w:t xml:space="preserve">Coverage</w:t>
            </w:r>
            <w:r>
              <w:t xml:space="preserve"> </w:t>
            </w:r>
            <w:r>
              <w:t xml:space="preserve">(repeated-experiment CI coverage);</w:t>
            </w:r>
            <w:r>
              <w:t xml:space="preserve"> </w:t>
            </w:r>
            <w:r>
              <w:rPr>
                <w:b/>
                <w:bCs/>
              </w:rPr>
              <w:t xml:space="preserve">Power</w:t>
            </w:r>
            <w:r>
              <w:t xml:space="preserve"> </w:t>
            </w:r>
            <w:r>
              <w:t xml:space="preserve">(rejection rate; Type-I error and power);</w:t>
            </w:r>
            <w:r>
              <w:t xml:space="preserve"> </w:t>
            </w:r>
            <w:r>
              <w:rPr>
                <w:b/>
                <w:bCs/>
              </w:rPr>
              <w:t xml:space="preserve">Tab</w:t>
            </w:r>
            <w:r>
              <w:t xml:space="preserve"> </w:t>
            </w:r>
            <w:r>
              <w:t xml:space="preserve">(contingency χ²,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t xml:space="preserve">, Cramér’s 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Diagnostics &amp; EDA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ECDF</w:t>
            </w:r>
            <w:r>
              <w:t xml:space="preserve"> </w:t>
            </w:r>
            <w:r>
              <w:t xml:space="preserve">(empirical CDF vs Normal);</w:t>
            </w:r>
            <w:r>
              <w:t xml:space="preserve"> </w:t>
            </w:r>
            <w:r>
              <w:rPr>
                <w:b/>
                <w:bCs/>
              </w:rPr>
              <w:t xml:space="preserve">QQ</w:t>
            </w:r>
            <w:r>
              <w:t xml:space="preserve"> </w:t>
            </w:r>
            <w:r>
              <w:t xml:space="preserve">(normal quantile–quantile plot);</w:t>
            </w:r>
            <w:r>
              <w:t xml:space="preserve"> </w:t>
            </w:r>
            <w:r>
              <w:rPr>
                <w:b/>
                <w:bCs/>
              </w:rPr>
              <w:t xml:space="preserve">Lag</w:t>
            </w:r>
            <w:r>
              <w:t xml:space="preserve"> </w:t>
            </w:r>
            <w:r>
              <w:t xml:space="preserve">(autocorrelation ρ(k) with Bartlett bands);</w:t>
            </w:r>
            <w:r>
              <w:t xml:space="preserve"> </w:t>
            </w:r>
            <w:r>
              <w:rPr>
                <w:b/>
                <w:bCs/>
              </w:rPr>
              <w:t xml:space="preserve">Scope</w:t>
            </w:r>
            <w:r>
              <w:t xml:space="preserve"> </w:t>
            </w:r>
            <w:r>
              <w:t xml:space="preserve">(time-series trace)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Transformation &amp; combination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Transform</w:t>
            </w:r>
            <w:r>
              <w:t xml:space="preserve"> </w:t>
            </w:r>
            <w:r>
              <w:t xml:space="preserve">(y = a·f(x) + b);</w:t>
            </w:r>
            <w:r>
              <w:t xml:space="preserve"> </w:t>
            </w:r>
            <w:r>
              <w:rPr>
                <w:b/>
                <w:bCs/>
              </w:rPr>
              <w:t xml:space="preserve">Noise</w:t>
            </w:r>
            <w:r>
              <w:t xml:space="preserve"> </w:t>
            </w:r>
            <w:r>
              <w:t xml:space="preserve">(y = x + N(0, σ²));</w:t>
            </w:r>
            <w:r>
              <w:t xml:space="preserve"> </w:t>
            </w:r>
            <w:r>
              <w:rPr>
                <w:b/>
                <w:bCs/>
              </w:rPr>
              <w:t xml:space="preserve">Mix</w:t>
            </w:r>
            <w:r>
              <w:t xml:space="preserve"> </w:t>
            </w:r>
            <w:r>
              <w:t xml:space="preserve">(mixture, sum, or mean of two streams);</w:t>
            </w:r>
            <w:r>
              <w:t xml:space="preserve"> </w:t>
            </w:r>
            <w:r>
              <w:rPr>
                <w:b/>
                <w:bCs/>
              </w:rPr>
              <w:t xml:space="preserve">Code</w:t>
            </w:r>
            <w:r>
              <w:t xml:space="preserve"> </w:t>
            </w:r>
            <w:r>
              <w:t xml:space="preserve">(continuous → ordinal / Likert)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Readout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Gauge</w:t>
            </w:r>
            <w:r>
              <w:t xml:space="preserve"> </w:t>
            </w:r>
            <w:r>
              <w:t xml:space="preserve">(a labelled real-world instrument readout)</w:t>
            </w:r>
          </w:p>
        </w:tc>
      </w:tr>
    </w:tbl>
    <w:bookmarkEnd w:id="16"/>
    <w:bookmarkStart w:id="17" w:name="Xa0ed57b5c70a51013a2a7b93c8801e67d03119f"/>
    <w:p>
      <w:pPr>
        <w:pStyle w:val="Heading1"/>
      </w:pPr>
      <w:r>
        <w:t xml:space="preserve">Appendix F — Bundled lessons and guided tour</w:t>
      </w:r>
    </w:p>
    <w:p>
      <w:pPr>
        <w:pStyle w:val="FirstParagraph"/>
      </w:pPr>
      <w:r>
        <w:t xml:space="preserve">Each lesson loads as a self-contained worksheet — a patch plus an explanatory</w:t>
      </w:r>
      <w:r>
        <w:t xml:space="preserve"> </w:t>
      </w:r>
      <w:r>
        <w:t xml:space="preserve">Note — so it opens ready to run and to modify.</w:t>
      </w:r>
    </w:p>
    <w:p>
      <w:pPr>
        <w:pStyle w:val="Compact"/>
        <w:numPr>
          <w:ilvl w:val="0"/>
          <w:numId w:val="1003"/>
        </w:numPr>
      </w:pPr>
      <w:r>
        <w:t xml:space="preserve">Law of Large Numbers</w:t>
      </w:r>
    </w:p>
    <w:p>
      <w:pPr>
        <w:pStyle w:val="Compact"/>
        <w:numPr>
          <w:ilvl w:val="0"/>
          <w:numId w:val="1003"/>
        </w:numPr>
      </w:pPr>
      <w:r>
        <w:t xml:space="preserve">Bootstrap sampling distribution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t</w:t>
      </w:r>
      <w:r>
        <w:t xml:space="preserve">-test with a small sample</w:t>
      </w:r>
    </w:p>
    <w:p>
      <w:pPr>
        <w:pStyle w:val="Compact"/>
        <w:numPr>
          <w:ilvl w:val="0"/>
          <w:numId w:val="1003"/>
        </w:numPr>
      </w:pPr>
      <w:r>
        <w:t xml:space="preserve">Regression — what no relationship looks like</w:t>
      </w:r>
    </w:p>
    <w:p>
      <w:pPr>
        <w:pStyle w:val="Compact"/>
        <w:numPr>
          <w:ilvl w:val="0"/>
          <w:numId w:val="1003"/>
        </w:numPr>
      </w:pPr>
      <w:r>
        <w:t xml:space="preserve">Survey responses (Likert coding)</w:t>
      </w:r>
    </w:p>
    <w:p>
      <w:pPr>
        <w:pStyle w:val="Compact"/>
        <w:numPr>
          <w:ilvl w:val="0"/>
          <w:numId w:val="1003"/>
        </w:numPr>
      </w:pPr>
      <w:r>
        <w:t xml:space="preserve">Bring your own data (CSV)</w:t>
      </w:r>
    </w:p>
    <w:p>
      <w:pPr>
        <w:pStyle w:val="Compact"/>
        <w:numPr>
          <w:ilvl w:val="0"/>
          <w:numId w:val="1003"/>
        </w:numPr>
      </w:pPr>
      <w:r>
        <w:t xml:space="preserve">Mixture of two distributions</w:t>
      </w:r>
    </w:p>
    <w:p>
      <w:pPr>
        <w:pStyle w:val="Compact"/>
        <w:numPr>
          <w:ilvl w:val="0"/>
          <w:numId w:val="1003"/>
        </w:numPr>
      </w:pPr>
      <w:r>
        <w:t xml:space="preserve">Comparing two groups (Welch</w:t>
      </w:r>
      <w:r>
        <w:t xml:space="preserve"> </w:t>
      </w:r>
      <w:r>
        <w:rPr>
          <w:i/>
          <w:iCs/>
        </w:rPr>
        <w:t xml:space="preserve">t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CLT from a skewed parent</w:t>
      </w:r>
    </w:p>
    <w:p>
      <w:pPr>
        <w:pStyle w:val="Compact"/>
        <w:numPr>
          <w:ilvl w:val="0"/>
          <w:numId w:val="1003"/>
        </w:numPr>
      </w:pPr>
      <w:r>
        <w:t xml:space="preserve">Build a real relationship (Transform + Noise)</w:t>
      </w:r>
    </w:p>
    <w:p>
      <w:pPr>
        <w:pStyle w:val="Compact"/>
        <w:numPr>
          <w:ilvl w:val="0"/>
          <w:numId w:val="1003"/>
        </w:numPr>
      </w:pPr>
      <w:r>
        <w:t xml:space="preserve">What</w:t>
      </w:r>
      <w:r>
        <w:t xml:space="preserve"> </w:t>
      </w:r>
      <w:r>
        <w:t xml:space="preserve">“95% confidence”</w:t>
      </w:r>
      <w:r>
        <w:t xml:space="preserve"> </w:t>
      </w:r>
      <w:r>
        <w:t xml:space="preserve">means</w:t>
      </w:r>
    </w:p>
    <w:p>
      <w:pPr>
        <w:pStyle w:val="Compact"/>
        <w:numPr>
          <w:ilvl w:val="0"/>
          <w:numId w:val="1003"/>
        </w:numPr>
      </w:pPr>
      <w:r>
        <w:t xml:space="preserve">The CLT, directly (batch means)</w:t>
      </w:r>
    </w:p>
    <w:p>
      <w:pPr>
        <w:pStyle w:val="Compact"/>
        <w:numPr>
          <w:ilvl w:val="0"/>
          <w:numId w:val="1003"/>
        </w:numPr>
      </w:pPr>
      <w:r>
        <w:t xml:space="preserve">Statistical power &amp; sample size</w:t>
      </w:r>
    </w:p>
    <w:p>
      <w:pPr>
        <w:pStyle w:val="Compact"/>
        <w:numPr>
          <w:ilvl w:val="0"/>
          <w:numId w:val="1003"/>
        </w:numPr>
      </w:pPr>
      <w:r>
        <w:t xml:space="preserve">False positives when nothing is going on</w:t>
      </w:r>
    </w:p>
    <w:p>
      <w:pPr>
        <w:pStyle w:val="Compact"/>
        <w:numPr>
          <w:ilvl w:val="0"/>
          <w:numId w:val="1003"/>
        </w:numPr>
      </w:pPr>
      <w:r>
        <w:t xml:space="preserve">Is it Normal? (QQ plot)</w:t>
      </w:r>
    </w:p>
    <w:p>
      <w:pPr>
        <w:pStyle w:val="Compact"/>
        <w:numPr>
          <w:ilvl w:val="0"/>
          <w:numId w:val="1003"/>
        </w:numPr>
      </w:pPr>
      <w:r>
        <w:t xml:space="preserve">Explore a dataset (EDA)</w:t>
      </w:r>
    </w:p>
    <w:p>
      <w:pPr>
        <w:pStyle w:val="FirstParagraph"/>
      </w:pPr>
      <w:r>
        <w:t xml:space="preserve">A four-step</w:t>
      </w:r>
      <w:r>
        <w:t xml:space="preserve"> </w:t>
      </w:r>
      <w:r>
        <w:rPr>
          <w:b/>
          <w:bCs/>
        </w:rPr>
        <w:t xml:space="preserve">guided tour</w:t>
      </w:r>
      <w:r>
        <w:t xml:space="preserve"> </w:t>
      </w:r>
      <w:r>
        <w:t xml:space="preserve">(Law of Large Numbers → bootstrap →</w:t>
      </w:r>
      <w:r>
        <w:t xml:space="preserve"> </w:t>
      </w:r>
      <w:r>
        <w:rPr>
          <w:i/>
          <w:iCs/>
        </w:rPr>
        <w:t xml:space="preserve">t</w:t>
      </w:r>
      <w:r>
        <w:t xml:space="preserve">-test →</w:t>
      </w:r>
      <w:r>
        <w:t xml:space="preserve"> </w:t>
      </w:r>
      <w:r>
        <w:t xml:space="preserve">confidence-interval coverage) introduces the canvas with previous/next</w:t>
      </w:r>
      <w:r>
        <w:t xml:space="preserve"> </w:t>
      </w:r>
      <w:r>
        <w:t xml:space="preserve">navigation.</w:t>
      </w:r>
    </w:p>
    <w:bookmarkEnd w:id="17"/>
    <w:bookmarkStart w:id="18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The references cited above appear in full in the main article: Abramowitz &amp;</w:t>
      </w:r>
      <w:r>
        <w:t xml:space="preserve"> </w:t>
      </w:r>
      <w:r>
        <w:t xml:space="preserve">Stegun (1964); Efron (1987); Matsumoto &amp; Nishimura (1998); Press, Teukolsky,</w:t>
      </w:r>
      <w:r>
        <w:t xml:space="preserve"> </w:t>
      </w:r>
      <w:r>
        <w:t xml:space="preserve">Vetterling &amp; Flannery (2007).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Materials — Empiria: A Composable, Browser-Based Environment for Simulation-Based Statistics Education</dc:title>
  <dc:creator/>
  <cp:keywords/>
  <dcterms:created xsi:type="dcterms:W3CDTF">2026-05-27T15:08:03Z</dcterms:created>
  <dcterms:modified xsi:type="dcterms:W3CDTF">2026-05-27T15:08:03Z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2026</vt:lpwstr>
  </property>
</Properties>
</file>