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Hamzaj 2687959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CyberLaw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11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November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w:t>
      </w:r>
      <w:r w:rsidDel="00000000" w:rsidR="00000000" w:rsidRPr="00000000">
        <w:rPr>
          <w:rFonts w:ascii="Times New Roman" w:cs="Times New Roman" w:eastAsia="Times New Roman" w:hAnsi="Times New Roman"/>
          <w:sz w:val="24"/>
          <w:szCs w:val="24"/>
          <w:rtl w:val="0"/>
        </w:rPr>
        <w:t xml:space="preserve">es, Executive Order 12333 needs improvement because cyber threats to the US are much greater than car bombing threats. According to Mr. David Shedd, who led the 2008 revision of EO 12333, Intelligence Community and USG demands that some form of clear cyber policy should be declared, moreover the Director of National Intelligence should create the policy but that policy is limited and it's binding to Intelligence Community alone. The policy should also avoid redundancy, vague terminology and window dressing aimed for public relations only. In 2015, with President Obama's directive to the Director of National Intelligence to create the Cyber Threat Intelligence Integration Center was tasked to provide all source intelligence analysis regarding cyber foreign threats and accidents but these present CTIIC vision is not the answer because according to Mr. Shedd believes that the CTIIC is adding redundancy to the policy and it's unlikely to improve the current trends in intelligence Community. Furthermore, in order to provide the best cyber policy, the USG needs to recognize the threadbare reality of the current framework and the cyber issues, the relationship between DNI and IC, and the policymakers and also the goal in creating the policy should be played to the Intelligence Community's strengths.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