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Hamzaj 2687969</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10</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Cyberlaw</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November 2023</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 When the SolarWinds hack was discovered in late 2020, it was a complex and extensive cyberespionage operation. Numerous U.S. government agencies and business sector entities were impacted by Russian hackers' infiltration of the Orion software platform.This incident highlighted the necessity for a strong and coordinated response as indicated in PPD-41 by providing unauthorized access to sensitive data and perhaps jeopardizing national security.</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government organization taking part in the reaction has a distinct duty. As the principal agency for threat response, the FBI would concentrate on locating, apprehending, and disabling the threat actors in charge of the hack. If necessary, this entails coordinating with foreign law enforcement and conducting criminal investigations. Through CISA, the DHS would take the lead in asset response activities, offering the impacted companies risk assessment, technical support, and mitigating techniques. In order to facilitate decision-making and reaction efforts, the ODNI would deliver situational awareness and intelligence in a timely manner.</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manage the incident, communication between the public and private sectors such as between SolarWinds and its clients is essential. The need for quick and secure information sharing, the safeguarding of private and sensitive data, and compliance with privacy and regulatory requirements are important variables affecting this interaction. A thorough response necessitates effective public-private partnership, which calls for open lines of communication, mutual confidence, and common goals in combating the cyber threat.</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need of having a well-coordinated and resilient response system, as described in PPD-41, is shown by the SolarWinds hack. It draws attention to the necessity of distinct roles and duties within government organizations and stresses the value of public-private collaborations in the field of cybersecurity. To prevent and lessen the effects of such big cyber catastrophes, future policy should concentrate on bolstering these partnerships, improving information-sharing procedures, and creating more robust cybersecurity infrastructures.</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