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16181D"/>
          <w:sz w:val="40"/>
          <w:szCs w:val="40"/>
        </w:rPr>
        <w:t xml:space="preserve">Paper outline — Introduction and Related Works</w:t>
      </w:r>
    </w:p>
    <w:p>
      <w:pPr>
        <w:spacing w:after="100" w:before="0" w:line="280"/>
      </w:pPr>
      <w:r>
        <w:rPr>
          <w:rFonts w:ascii="Consolas" w:cs="Consolas" w:eastAsia="Consolas" w:hAnsi="Consolas"/>
          <w:color w:val="8A90A0"/>
          <w:sz w:val="19"/>
          <w:szCs w:val="19"/>
        </w:rPr>
        <w:t xml:space="preserve">Open-ended aggregation · content-validation draft · 23 August 2026</w:t>
      </w:r>
    </w:p>
    <w:p>
      <w:pPr>
        <w:spacing w:after="260" w:before="0" w:line="280"/>
      </w:pPr>
      <w:r>
        <w:rPr>
          <w:rFonts w:ascii="Calibri" w:cs="Calibri" w:eastAsia="Calibri" w:hAnsi="Calibri"/>
          <w:i/>
          <w:iCs/>
          <w:color w:val="3D4350"/>
          <w:sz w:val="20"/>
          <w:szCs w:val="20"/>
        </w:rPr>
        <w:t xml:space="preserve">Content only — writing style deliberately not polished, per the brief. Every number is cross-fitted and reproduces from cached generations.</w:t>
      </w:r>
    </w:p>
    <w:p>
      <w:pPr>
        <w:pBdr>
          <w:bottom w:val="single" w:color="0F6E70" w:sz="8" w:space="6"/>
        </w:pBdr>
        <w:spacing w:after="60" w:before="440"/>
      </w:pPr>
      <w:r>
        <w:rPr>
          <w:rFonts w:ascii="Calibri" w:cs="Calibri" w:eastAsia="Calibri" w:hAnsi="Calibri"/>
          <w:b/>
          <w:bCs/>
          <w:color w:val="16181D"/>
          <w:sz w:val="32"/>
          <w:szCs w:val="32"/>
        </w:rPr>
        <w:t xml:space="preserve">Introduction</w:t>
      </w:r>
    </w:p>
    <w:p>
      <w:pPr>
        <w:spacing w:after="110" w:before="320"/>
      </w:pPr>
      <w:r>
        <w:rPr>
          <w:rFonts w:ascii="Calibri" w:cs="Calibri" w:eastAsia="Calibri" w:hAnsi="Calibri"/>
          <w:b/>
          <w:bCs/>
          <w:color w:val="16181D"/>
          <w:sz w:val="24"/>
          <w:szCs w:val="24"/>
        </w:rPr>
        <w:t xml:space="preserve">1. Motivation — why should the reader care?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Multi-model ensembles are now standard practice, but the aggregation step is still majority voting, which was designed for single-label tasks.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Most real LLM outputs are not single labels. They are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sets of claims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— entity lists, or long-form answers containing many separable facts.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Voting on sets is actively harmful. On QAMPARI, strict majority scores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23.11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while simply using the best single model scores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27.40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. Naive aggregation is worse than not aggregating at all.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So the practical stake is real: getting this wrong means paying 8× the inference cost for a loss.</w:t>
      </w:r>
    </w:p>
    <w:p>
      <w:pPr>
        <w:spacing w:after="110" w:before="320"/>
      </w:pPr>
      <w:r>
        <w:rPr>
          <w:rFonts w:ascii="Calibri" w:cs="Calibri" w:eastAsia="Calibri" w:hAnsi="Calibri"/>
          <w:b/>
          <w:bCs/>
          <w:color w:val="16181D"/>
          <w:sz w:val="24"/>
          <w:szCs w:val="24"/>
        </w:rPr>
        <w:t xml:space="preserve">2. Context and the gap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Existing approach 1 — weighted voting.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Beyond Majority Voting derives provably optimal aggregation weights, but for binary and categorical predictions.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Why it is not enough.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It does not merely underperform on set-valued answers — it is undefined there. Its weight is log(p/(1−p)), which requires per-model accuracy above 0.5. Per-</w:t>
      </w:r>
      <w:r>
        <w:rPr>
          <w:rFonts w:ascii="Calibri" w:cs="Calibri" w:eastAsia="Calibri" w:hAnsi="Calibri"/>
          <w:i/>
          <w:iCs/>
          <w:color w:val="16181D"/>
          <w:sz w:val="21"/>
          <w:szCs w:val="21"/>
        </w:rPr>
        <w:t xml:space="preserve">claim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precision on these tasks runs 5.8–28%, so every weight goes negative and the rule inverts: more agreement produces less support.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Existing approach 2 — atomic self-consistency.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Decompose a long-form answer into atomic units, cluster them, keep clusters above a threshold, recompose.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Why it is not enough.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It draws repeated samples from a </w:t>
      </w:r>
      <w:r>
        <w:rPr>
          <w:rFonts w:ascii="Calibri" w:cs="Calibri" w:eastAsia="Calibri" w:hAnsi="Calibri"/>
          <w:i/>
          <w:iCs/>
          <w:color w:val="16181D"/>
          <w:sz w:val="21"/>
          <w:szCs w:val="21"/>
        </w:rPr>
        <w:t xml:space="preserve">single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model, so it has no notion of which model asserted what. There is no reliability weighting in it at all.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Existing approach 3 — response-level selection and fusion.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Rank whole responses and pick or blend the best.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Why it is not enough.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With open-ended answers no two responses ever coincide, so selection degenerates exactly to the best single model — we measure this and it reproduces best-single with a zero-width confidence interval.</w:t>
      </w:r>
    </w:p>
    <w:p>
      <w:pPr>
        <w:pBdr>
          <w:left w:val="single" w:color="0F6E70" w:sz="18" w:space="8"/>
        </w:pBdr>
        <w:shd w:fill="E6F2F2" w:val="clear"/>
        <w:spacing w:after="200" w:before="160" w:line="280"/>
        <w:ind w:left="180" w:right="1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The gap. 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No principled weighting scheme exists for heterogeneous models producing set-valued answers — the case that covers most real long-form LLM output.</w:t>
      </w:r>
    </w:p>
    <w:p>
      <w:pPr>
        <w:spacing w:after="110" w:before="320"/>
      </w:pPr>
      <w:r>
        <w:rPr>
          <w:rFonts w:ascii="Calibri" w:cs="Calibri" w:eastAsia="Calibri" w:hAnsi="Calibri"/>
          <w:b/>
          <w:bCs/>
          <w:color w:val="16181D"/>
          <w:sz w:val="24"/>
          <w:szCs w:val="24"/>
        </w:rPr>
        <w:t xml:space="preserve">3. Insights and research questions</w:t>
      </w:r>
    </w:p>
    <w:p>
      <w:pPr>
        <w:spacing w:after="9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Research questions</w:t>
      </w:r>
    </w:p>
    <w:p>
      <w:pPr>
        <w:pStyle w:val="ListParagraph"/>
        <w:numPr>
          <w:ilvl w:val="0"/>
          <w:numId w:val="3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RQ1. 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Can reliability weighting improve multi-model aggregation of set-valued answers?</w:t>
      </w:r>
    </w:p>
    <w:p>
      <w:pPr>
        <w:pStyle w:val="ListParagraph"/>
        <w:numPr>
          <w:ilvl w:val="0"/>
          <w:numId w:val="3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RQ2. 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If not, what information does help — and can we establish where the limit is rather than merely failing to beat it?</w:t>
      </w:r>
    </w:p>
    <w:p>
      <w:pPr>
        <w:pStyle w:val="ListParagraph"/>
        <w:numPr>
          <w:ilvl w:val="0"/>
          <w:numId w:val="3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RQ3. 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Can we predict, before deploying an ensemble, how much aggregation will help?</w:t>
      </w:r>
    </w:p>
    <w:p>
      <w:pPr>
        <w:spacing w:after="90" w:before="16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Insights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A provable ceiling.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Every reliability-weighting rule is a function of the support pattern — which agents asserted a claim. A direct lookup of P(correct | exactly this subset asserted) therefore upper-bounds all of them, including correlation-aware and omission-aware variants, because the pattern also determines who stayed silent. Measured, that ceiling is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+0.25, not significant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. RQ1 is answered "no," by construction rather than by a failed attempt.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The ceiling binds only one class of rule.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It constrains anything reading </w:t>
      </w:r>
      <w:r>
        <w:rPr>
          <w:rFonts w:ascii="Calibri" w:cs="Calibri" w:eastAsia="Calibri" w:hAnsi="Calibri"/>
          <w:i/>
          <w:iCs/>
          <w:color w:val="16181D"/>
          <w:sz w:val="21"/>
          <w:szCs w:val="21"/>
        </w:rPr>
        <w:t xml:space="preserve">who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asserted. It says nothing about an agent’s own output structure — where it ranked a claim within its own list, and what it declined to mention.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The decision rule matters as much as the score.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Gold answer counts vary from 5 to 40 per question, so a single global threshold is wrong nearly everywhere. Choosing how many claims to keep, per question, is a separate and roughly independent axis of gain.</w:t>
      </w:r>
    </w:p>
    <w:p>
      <w:pPr>
        <w:spacing w:after="110" w:before="320"/>
      </w:pPr>
      <w:r>
        <w:rPr>
          <w:rFonts w:ascii="Calibri" w:cs="Calibri" w:eastAsia="Calibri" w:hAnsi="Calibri"/>
          <w:b/>
          <w:bCs/>
          <w:color w:val="16181D"/>
          <w:sz w:val="24"/>
          <w:szCs w:val="24"/>
        </w:rPr>
        <w:t xml:space="preserve">4. Method summary</w:t>
      </w:r>
    </w:p>
    <w:p>
      <w:pPr>
        <w:spacing w:after="9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Step 1 — score each claim.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An L2-regularised logistic regression predicting P(claim correct) from:</w:t>
      </w:r>
    </w:p>
    <w:p>
      <w:pPr>
        <w:pStyle w:val="ListParagraph"/>
        <w:numPr>
          <w:ilvl w:val="1"/>
          <w:numId w:val="2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support pattern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— which agents asserted it, and how many (what counting and weighting already use)</w:t>
      </w:r>
    </w:p>
    <w:p>
      <w:pPr>
        <w:pStyle w:val="ListParagraph"/>
        <w:numPr>
          <w:ilvl w:val="1"/>
          <w:numId w:val="2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position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— where the claim sat in each asserting agent’s </w:t>
      </w:r>
      <w:r>
        <w:rPr>
          <w:rFonts w:ascii="Calibri" w:cs="Calibri" w:eastAsia="Calibri" w:hAnsi="Calibri"/>
          <w:i/>
          <w:iCs/>
          <w:color w:val="16181D"/>
          <w:sz w:val="21"/>
          <w:szCs w:val="21"/>
        </w:rPr>
        <w:t xml:space="preserve">own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list, plus per-agent position bands</w:t>
      </w:r>
    </w:p>
    <w:p>
      <w:pPr>
        <w:pStyle w:val="ListParagraph"/>
        <w:numPr>
          <w:ilvl w:val="1"/>
          <w:numId w:val="2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omission strength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— for each </w:t>
      </w:r>
      <w:r>
        <w:rPr>
          <w:rFonts w:ascii="Calibri" w:cs="Calibri" w:eastAsia="Calibri" w:hAnsi="Calibri"/>
          <w:i/>
          <w:iCs/>
          <w:color w:val="16181D"/>
          <w:sz w:val="21"/>
          <w:szCs w:val="21"/>
        </w:rPr>
        <w:t xml:space="preserve">silent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agent, how much it said. Silence from an agent that listed 50 items is evidence; from one that listed 3 it is not.</w:t>
      </w:r>
    </w:p>
    <w:p>
      <w:pPr>
        <w:pStyle w:val="ListParagraph"/>
        <w:numPr>
          <w:ilvl w:val="1"/>
          <w:numId w:val="2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stacked pattern probability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— the ceiling estimate fed in as one more feature</w:t>
      </w:r>
    </w:p>
    <w:p>
      <w:pPr>
        <w:spacing w:after="80" w:before="15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Step 2 — choose how many to keep, per question.</w:t>
      </w:r>
    </w:p>
    <w:p>
      <w:pPr>
        <w:shd w:fill="F4F6F8" w:val="clear"/>
        <w:spacing w:after="110" w:before="0" w:line="280"/>
        <w:ind w:left="200"/>
      </w:pPr>
      <w:r>
        <w:rPr>
          <w:rFonts w:ascii="Consolas" w:cs="Consolas" w:eastAsia="Consolas" w:hAnsi="Consolas"/>
          <w:color w:val="16181D"/>
          <w:sz w:val="19"/>
          <w:szCs w:val="19"/>
        </w:rPr>
        <w:t xml:space="preserve">k*(q) = argmax_k   2 · (sum of the top-k probabilities) / (k + Ĝ_q)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This is plug-in expected F1. Ĝ is a ridge-predicted gold count fitted on training questions only.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Notably it does not need to be accurate: mean absolute error is 4.62 against a gold mean of 10.2, and substituting the true count gains only +0.55. But the cut must </w:t>
      </w:r>
      <w:r>
        <w:rPr>
          <w:rFonts w:ascii="Calibri" w:cs="Calibri" w:eastAsia="Calibri" w:hAnsi="Calibri"/>
          <w:i/>
          <w:iCs/>
          <w:color w:val="16181D"/>
          <w:sz w:val="21"/>
          <w:szCs w:val="21"/>
        </w:rPr>
        <w:t xml:space="preserve">vary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— a constant k for every question gains nothing at all.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Everything — coefficients, the gold-count regression, thresholds — is cross-fitted by question. No labels are used at inference.</w:t>
      </w:r>
    </w:p>
    <w:p>
      <w:pPr>
        <w:spacing w:after="110" w:before="320"/>
      </w:pPr>
      <w:r>
        <w:rPr>
          <w:rFonts w:ascii="Calibri" w:cs="Calibri" w:eastAsia="Calibri" w:hAnsi="Calibri"/>
          <w:b/>
          <w:bCs/>
          <w:color w:val="16181D"/>
          <w:sz w:val="24"/>
          <w:szCs w:val="24"/>
        </w:rPr>
        <w:t xml:space="preserve">5. Contributions and results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A ceiling result. 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Reliability weighting on set-valued aggregation is capped at +0.25 (not significant) on QAMPARI. The cap is established by construction, which converts a null result into a positive finding.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A method that clears it. 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+2.39 over counting (+8.1%) and +4.34 over the best single agent (+15.8%), both significant — using only a logistic regression and a closed-form keep-count, no boosting.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Breadth. 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Beats counting significantly in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210 of 210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agent ensembles of size 3–6; +20.0% at n=3. Reliability weighting manages 105 of 210 and turns negative by n=6, so the published crossover is a property of pattern-based rules, not of aggregation.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Robustness. 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Survives leave-one-source-out, retaining 80–90% of the gain on question types never seen in training. The same test collapses the pattern-lookup arm from +0.25 to +0.02 (not significant), demonstrating that the protocol detects memorisation and that our features are not what it flags.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A predictive rule. 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The gain is forecastable from pool properties computable before running anything: leave-one-out R² = 0.817. Dominance (best ÷ mean of the rest) flips sign between the two comparisons, which explains why our two results tables look so different.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A dataset screen. 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The solo ratio, P(correct | 1 agent) ÷ P(correct | ≥2 agents), predicts which regime a benchmark is in — monotone across QAMPARI 0.06, TriviaQA 0.24, ASQA 0.47, tracking weighting’s value from null to +10.9%.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Reusable negative results. 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Error-correlation weighting (λ = 0 selected in 5 of 5 folds), question-domain weights (+0.00), pairwise co-assertion (+0.05), and alias merging (harmful at every threshold tested).</w:t>
      </w:r>
    </w:p>
    <w:p>
      <w:pPr>
        <w:pBdr>
          <w:bottom w:val="single" w:color="0F6E70" w:sz="8" w:space="6"/>
        </w:pBdr>
        <w:spacing w:after="60" w:before="440"/>
      </w:pPr>
      <w:r>
        <w:rPr>
          <w:rFonts w:ascii="Calibri" w:cs="Calibri" w:eastAsia="Calibri" w:hAnsi="Calibri"/>
          <w:b/>
          <w:bCs/>
          <w:color w:val="16181D"/>
          <w:sz w:val="32"/>
          <w:szCs w:val="32"/>
        </w:rPr>
        <w:t xml:space="preserve">Related Works</w:t>
      </w:r>
    </w:p>
    <w:p>
      <w:pPr>
        <w:spacing w:after="200" w:before="0" w:line="280"/>
      </w:pPr>
      <w:r>
        <w:rPr>
          <w:rFonts w:ascii="Calibri" w:cs="Calibri" w:eastAsia="Calibri" w:hAnsi="Calibri"/>
          <w:i/>
          <w:iCs/>
          <w:color w:val="3D4350"/>
          <w:sz w:val="19"/>
          <w:szCs w:val="19"/>
        </w:rPr>
        <w:t xml:space="preserve">Structure follows Huang’s related-work guidance: divide into topics, tell each as a trajectory, state the relationship to our work explicitly, avoid laundry lists.</w:t>
      </w:r>
    </w:p>
    <w:p>
      <w:pPr>
        <w:spacing w:after="110" w:before="320"/>
      </w:pPr>
      <w:r>
        <w:rPr>
          <w:rFonts w:ascii="Calibri" w:cs="Calibri" w:eastAsia="Calibri" w:hAnsi="Calibri"/>
          <w:b/>
          <w:bCs/>
          <w:color w:val="16181D"/>
          <w:sz w:val="24"/>
          <w:szCs w:val="24"/>
        </w:rPr>
        <w:t xml:space="preserve">Paper list</w:t>
      </w:r>
    </w:p>
    <w:p>
      <w:pPr>
        <w:spacing w:after="140" w:before="0" w:line="280"/>
      </w:pPr>
      <w:r>
        <w:rPr>
          <w:rFonts w:ascii="Calibri" w:cs="Calibri" w:eastAsia="Calibri" w:hAnsi="Calibri"/>
          <w:color w:val="3D4350"/>
          <w:sz w:val="19"/>
          <w:szCs w:val="19"/>
        </w:rPr>
        <w:t xml:space="preserve">Confidence marks: </w:t>
      </w:r>
      <w:r>
        <w:rPr>
          <w:rFonts w:ascii="Consolas" w:cs="Consolas" w:eastAsia="Consolas" w:hAnsi="Consolas"/>
          <w:color w:val="0F6E70"/>
          <w:sz w:val="19"/>
          <w:szCs w:val="19"/>
        </w:rPr>
        <w:t xml:space="preserve">[read]</w:t>
      </w:r>
      <w:r>
        <w:rPr>
          <w:rFonts w:ascii="Calibri" w:cs="Calibri" w:eastAsia="Calibri" w:hAnsi="Calibri"/>
          <w:color w:val="3D4350"/>
          <w:sz w:val="19"/>
          <w:szCs w:val="19"/>
        </w:rPr>
        <w:t xml:space="preserve"> = read directly. </w:t>
      </w:r>
      <w:r>
        <w:rPr>
          <w:rFonts w:ascii="Consolas" w:cs="Consolas" w:eastAsia="Consolas" w:hAnsi="Consolas"/>
          <w:color w:val="0F6E70"/>
          <w:sz w:val="19"/>
          <w:szCs w:val="19"/>
        </w:rPr>
        <w:t xml:space="preserve">[search]</w:t>
      </w:r>
      <w:r>
        <w:rPr>
          <w:rFonts w:ascii="Calibri" w:cs="Calibri" w:eastAsia="Calibri" w:hAnsi="Calibri"/>
          <w:color w:val="3D4350"/>
          <w:sz w:val="19"/>
          <w:szCs w:val="19"/>
        </w:rPr>
        <w:t xml:space="preserve"> = from search summaries only; must be read before entering the bibliography.</w:t>
      </w:r>
    </w:p>
    <w:tbl>
      <w:tblPr>
        <w:tblW w:type="dxa" w:w="9360"/>
        <w:tblBorders>
          <w:top w:val="single" w:color="E3E6EC" w:sz="4"/>
          <w:left w:val="none"/>
          <w:bottom w:val="single" w:color="E3E6EC" w:sz="4"/>
          <w:right w:val="none"/>
          <w:insideH w:val="single" w:color="E3E6EC" w:sz="2"/>
          <w:insideV w:val="none"/>
        </w:tblBorders>
      </w:tblPr>
      <w:tblGrid>
        <w:gridCol w:w="468"/>
        <w:gridCol w:w="3182"/>
        <w:gridCol w:w="5710"/>
      </w:tblGrid>
      <w:tr>
        <w:trPr>
          <w:tblHeader/>
        </w:trPr>
        <w:tc>
          <w:tcPr>
            <w:tcW w:type="dxa" w:w="4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8A90A0"/>
                <w:sz w:val="14"/>
                <w:szCs w:val="14"/>
              </w:rPr>
              <w:t xml:space="preserve">#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8A90A0"/>
                <w:sz w:val="14"/>
                <w:szCs w:val="14"/>
              </w:rPr>
              <w:t xml:space="preserve">PAPER</w:t>
            </w:r>
          </w:p>
        </w:tc>
        <w:tc>
          <w:tcPr>
            <w:tcW w:type="dxa" w:w="5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8A90A0"/>
                <w:sz w:val="14"/>
                <w:szCs w:val="14"/>
              </w:rPr>
              <w:t xml:space="preserve">MAIN FINDING</w:t>
            </w:r>
          </w:p>
        </w:tc>
      </w:tr>
      <w:tr>
        <w:tc>
          <w:tcPr>
            <w:tcW w:type="dxa" w:w="4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1</w:t>
            </w:r>
          </w:p>
        </w:tc>
        <w:tc>
          <w:tcPr>
            <w:tcW w:type="dxa" w:w="31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Beyond Majority Voting</w:t>
            </w:r>
            <w:r>
              <w:rPr>
                <w:rFonts w:ascii="Consolas" w:cs="Consolas" w:eastAsia="Consolas" w:hAnsi="Consolas"/>
                <w:color w:val="0F6E70"/>
                <w:sz w:val="16"/>
                <w:szCs w:val="16"/>
              </w:rPr>
              <w:t xml:space="preserve">  2510.01499 [read]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Optimal-weight and inverse-surprising-popularity aggregation provably beat majority voting; scope is binary and categorical predictions</w:t>
            </w:r>
          </w:p>
        </w:tc>
      </w:tr>
      <w:tr>
        <w:tc>
          <w:tcPr>
            <w:tcW w:type="dxa" w:w="468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2</w:t>
            </w:r>
          </w:p>
        </w:tc>
        <w:tc>
          <w:tcPr>
            <w:tcW w:type="dxa" w:w="3182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Atomic Self-Consistency</w:t>
            </w:r>
            <w:r>
              <w:rPr>
                <w:rFonts w:ascii="Consolas" w:cs="Consolas" w:eastAsia="Consolas" w:hAnsi="Consolas"/>
                <w:color w:val="0F6E70"/>
                <w:sz w:val="16"/>
                <w:szCs w:val="16"/>
              </w:rPr>
              <w:t xml:space="preserve">  2405.13131 [read]</w:t>
            </w:r>
          </w:p>
        </w:tc>
        <w:tc>
          <w:tcPr>
            <w:tcW w:type="dxa" w:w="571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Decompose long-form answers into atomic units, cluster, threshold, recompose with an LLM; m samples from one model</w:t>
            </w:r>
          </w:p>
        </w:tc>
      </w:tr>
      <w:tr>
        <w:tc>
          <w:tcPr>
            <w:tcW w:type="dxa" w:w="4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3</w:t>
            </w:r>
          </w:p>
        </w:tc>
        <w:tc>
          <w:tcPr>
            <w:tcW w:type="dxa" w:w="31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Universal Self-Consistency</w:t>
            </w:r>
            <w:r>
              <w:rPr>
                <w:rFonts w:ascii="Consolas" w:cs="Consolas" w:eastAsia="Consolas" w:hAnsi="Consolas"/>
                <w:color w:val="0F6E70"/>
                <w:sz w:val="16"/>
                <w:szCs w:val="16"/>
              </w:rPr>
              <w:t xml:space="preserve">  2311.17311 [search]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An LLM selects the most consistent whole response, extending self-consistency to free-form output</w:t>
            </w:r>
          </w:p>
        </w:tc>
      </w:tr>
      <w:tr>
        <w:tc>
          <w:tcPr>
            <w:tcW w:type="dxa" w:w="468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4</w:t>
            </w:r>
          </w:p>
        </w:tc>
        <w:tc>
          <w:tcPr>
            <w:tcW w:type="dxa" w:w="3182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More Agents Is All You Need</w:t>
            </w:r>
            <w:r>
              <w:rPr>
                <w:rFonts w:ascii="Consolas" w:cs="Consolas" w:eastAsia="Consolas" w:hAnsi="Consolas"/>
                <w:color w:val="0F6E70"/>
                <w:sz w:val="16"/>
                <w:szCs w:val="16"/>
              </w:rPr>
              <w:t xml:space="preserve">  2402.05120 [read]</w:t>
            </w:r>
          </w:p>
        </w:tc>
        <w:tc>
          <w:tcPr>
            <w:tcW w:type="dxa" w:w="571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Performance scales with the number of sampled agents under plain majority voting</w:t>
            </w:r>
          </w:p>
        </w:tc>
      </w:tr>
      <w:tr>
        <w:tc>
          <w:tcPr>
            <w:tcW w:type="dxa" w:w="4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5</w:t>
            </w:r>
          </w:p>
        </w:tc>
        <w:tc>
          <w:tcPr>
            <w:tcW w:type="dxa" w:w="31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LLM-Blender</w:t>
            </w:r>
            <w:r>
              <w:rPr>
                <w:rFonts w:ascii="Consolas" w:cs="Consolas" w:eastAsia="Consolas" w:hAnsi="Consolas"/>
                <w:color w:val="0F6E70"/>
                <w:sz w:val="16"/>
                <w:szCs w:val="16"/>
              </w:rPr>
              <w:t xml:space="preserve">  2306.02561 [read]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Pairwise ranking followed by generative fusion over complete responses</w:t>
            </w:r>
          </w:p>
        </w:tc>
      </w:tr>
      <w:tr>
        <w:tc>
          <w:tcPr>
            <w:tcW w:type="dxa" w:w="468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6</w:t>
            </w:r>
          </w:p>
        </w:tc>
        <w:tc>
          <w:tcPr>
            <w:tcW w:type="dxa" w:w="3182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Finch-Zk</w:t>
            </w:r>
            <w:r>
              <w:rPr>
                <w:rFonts w:ascii="Consolas" w:cs="Consolas" w:eastAsia="Consolas" w:hAnsi="Consolas"/>
                <w:color w:val="0F6E70"/>
                <w:sz w:val="16"/>
                <w:szCs w:val="16"/>
              </w:rPr>
              <w:t xml:space="preserve">  2508.14314 [read]</w:t>
            </w:r>
          </w:p>
        </w:tc>
        <w:tc>
          <w:tcPr>
            <w:tcW w:type="dxa" w:w="571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Fine-grained cross-model consistency filters hallucinated segments; no position, omission or budget signal</w:t>
            </w:r>
          </w:p>
        </w:tc>
      </w:tr>
      <w:tr>
        <w:tc>
          <w:tcPr>
            <w:tcW w:type="dxa" w:w="4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7</w:t>
            </w:r>
          </w:p>
        </w:tc>
        <w:tc>
          <w:tcPr>
            <w:tcW w:type="dxa" w:w="31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Atomic Calibration</w:t>
            </w:r>
            <w:r>
              <w:rPr>
                <w:rFonts w:ascii="Consolas" w:cs="Consolas" w:eastAsia="Consolas" w:hAnsi="Consolas"/>
                <w:color w:val="0F6E70"/>
                <w:sz w:val="16"/>
                <w:szCs w:val="16"/>
              </w:rPr>
              <w:t xml:space="preserve">  2410.13246 [read]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Confidence estimation at atomic-claim level within a single model’s long-form generation</w:t>
            </w:r>
          </w:p>
        </w:tc>
      </w:tr>
      <w:tr>
        <w:tc>
          <w:tcPr>
            <w:tcW w:type="dxa" w:w="468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8</w:t>
            </w:r>
          </w:p>
        </w:tc>
        <w:tc>
          <w:tcPr>
            <w:tcW w:type="dxa" w:w="3182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Cross-Contextual Consistency</w:t>
            </w:r>
            <w:r>
              <w:rPr>
                <w:rFonts w:ascii="Consolas" w:cs="Consolas" w:eastAsia="Consolas" w:hAnsi="Consolas"/>
                <w:color w:val="0F6E70"/>
                <w:sz w:val="16"/>
                <w:szCs w:val="16"/>
              </w:rPr>
              <w:t xml:space="preserve">  2608.10315 [read]</w:t>
            </w:r>
          </w:p>
        </w:tc>
        <w:tc>
          <w:tcPr>
            <w:tcW w:type="dxa" w:w="571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Stability under perturbed prompts predicts correctness; single-model credibility scoring</w:t>
            </w:r>
          </w:p>
        </w:tc>
      </w:tr>
      <w:tr>
        <w:tc>
          <w:tcPr>
            <w:tcW w:type="dxa" w:w="4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9</w:t>
            </w:r>
          </w:p>
        </w:tc>
        <w:tc>
          <w:tcPr>
            <w:tcW w:type="dxa" w:w="31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Serial Position Effects</w:t>
            </w:r>
            <w:r>
              <w:rPr>
                <w:rFonts w:ascii="Consolas" w:cs="Consolas" w:eastAsia="Consolas" w:hAnsi="Consolas"/>
                <w:color w:val="0F6E70"/>
                <w:sz w:val="16"/>
                <w:szCs w:val="16"/>
              </w:rPr>
              <w:t xml:space="preserve">  2406.15981 [read]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Primacy and recency bias in which of the supplied options an LLM selects — an input-side effect</w:t>
            </w:r>
          </w:p>
        </w:tc>
      </w:tr>
      <w:tr>
        <w:tc>
          <w:tcPr>
            <w:tcW w:type="dxa" w:w="468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10</w:t>
            </w:r>
          </w:p>
        </w:tc>
        <w:tc>
          <w:tcPr>
            <w:tcW w:type="dxa" w:w="3182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Fast Dawid-Skene</w:t>
            </w:r>
            <w:r>
              <w:rPr>
                <w:rFonts w:ascii="Consolas" w:cs="Consolas" w:eastAsia="Consolas" w:hAnsi="Consolas"/>
                <w:color w:val="0F6E70"/>
                <w:sz w:val="16"/>
                <w:szCs w:val="16"/>
              </w:rPr>
              <w:t xml:space="preserve">  1803.02781 [search]</w:t>
            </w:r>
          </w:p>
        </w:tc>
        <w:tc>
          <w:tcPr>
            <w:tcW w:type="dxa" w:w="571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Efficient expectation-maximisation for annotator-reliability label aggregation</w:t>
            </w:r>
          </w:p>
        </w:tc>
      </w:tr>
      <w:tr>
        <w:tc>
          <w:tcPr>
            <w:tcW w:type="dxa" w:w="4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11</w:t>
            </w:r>
          </w:p>
        </w:tc>
        <w:tc>
          <w:tcPr>
            <w:tcW w:type="dxa" w:w="31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Crowd-Certain</w:t>
            </w:r>
            <w:r>
              <w:rPr>
                <w:rFonts w:ascii="Consolas" w:cs="Consolas" w:eastAsia="Consolas" w:hAnsi="Consolas"/>
                <w:color w:val="0F6E70"/>
                <w:sz w:val="16"/>
                <w:szCs w:val="16"/>
              </w:rPr>
              <w:t xml:space="preserve">  2310.16293 [search]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Label aggregation spanning crowdsourcing and ensemble classification</w:t>
            </w:r>
          </w:p>
        </w:tc>
      </w:tr>
      <w:tr>
        <w:tc>
          <w:tcPr>
            <w:tcW w:type="dxa" w:w="468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12</w:t>
            </w:r>
          </w:p>
        </w:tc>
        <w:tc>
          <w:tcPr>
            <w:tcW w:type="dxa" w:w="3182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Soft Dawid-Skene for deep ensembles</w:t>
            </w:r>
            <w:r>
              <w:rPr>
                <w:rFonts w:ascii="Consolas" w:cs="Consolas" w:eastAsia="Consolas" w:hAnsi="Consolas"/>
                <w:color w:val="0F6E70"/>
                <w:sz w:val="16"/>
                <w:szCs w:val="16"/>
              </w:rPr>
              <w:t xml:space="preserve">  2503.07119 [search]</w:t>
            </w:r>
          </w:p>
        </w:tc>
        <w:tc>
          <w:tcPr>
            <w:tcW w:type="dxa" w:w="571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Weighting ensemble members by estimated confusion matrices beats plain averaging</w:t>
            </w:r>
          </w:p>
        </w:tc>
      </w:tr>
      <w:tr>
        <w:tc>
          <w:tcPr>
            <w:tcW w:type="dxa" w:w="4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13</w:t>
            </w:r>
          </w:p>
        </w:tc>
        <w:tc>
          <w:tcPr>
            <w:tcW w:type="dxa" w:w="31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The Illusion of Progress</w:t>
            </w:r>
            <w:r>
              <w:rPr>
                <w:rFonts w:ascii="Consolas" w:cs="Consolas" w:eastAsia="Consolas" w:hAnsi="Consolas"/>
                <w:color w:val="0F6E70"/>
                <w:sz w:val="16"/>
                <w:szCs w:val="16"/>
              </w:rPr>
              <w:t xml:space="preserve">  2508.08285 [search]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Response length alone is a powerful hallucination detector, often matching sophisticated methods</w:t>
            </w:r>
          </w:p>
        </w:tc>
      </w:tr>
      <w:tr>
        <w:tc>
          <w:tcPr>
            <w:tcW w:type="dxa" w:w="468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14</w:t>
            </w:r>
          </w:p>
        </w:tc>
        <w:tc>
          <w:tcPr>
            <w:tcW w:type="dxa" w:w="3182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Verbosity ≠ Veracity</w:t>
            </w:r>
            <w:r>
              <w:rPr>
                <w:rFonts w:ascii="Consolas" w:cs="Consolas" w:eastAsia="Consolas" w:hAnsi="Consolas"/>
                <w:color w:val="0F6E70"/>
                <w:sz w:val="16"/>
                <w:szCs w:val="16"/>
              </w:rPr>
              <w:t xml:space="preserve">  2411.07858 [search]</w:t>
            </w:r>
          </w:p>
        </w:tc>
        <w:tc>
          <w:tcPr>
            <w:tcW w:type="dxa" w:w="571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Models pad their answers when uncertain — verbosity compensation</w:t>
            </w:r>
          </w:p>
        </w:tc>
      </w:tr>
      <w:tr>
        <w:tc>
          <w:tcPr>
            <w:tcW w:type="dxa" w:w="4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15</w:t>
            </w:r>
          </w:p>
        </w:tc>
        <w:tc>
          <w:tcPr>
            <w:tcW w:type="dxa" w:w="31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QAMPARI</w:t>
            </w:r>
            <w:r>
              <w:rPr>
                <w:rFonts w:ascii="Consolas" w:cs="Consolas" w:eastAsia="Consolas" w:hAnsi="Consolas"/>
                <w:color w:val="0F6E70"/>
                <w:sz w:val="16"/>
                <w:szCs w:val="16"/>
              </w:rPr>
              <w:t xml:space="preserve">  2205.12665 [search]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Open-domain QA benchmark whose answers are lists of many entities across paragraphs</w:t>
            </w:r>
          </w:p>
        </w:tc>
      </w:tr>
      <w:tr>
        <w:tc>
          <w:tcPr>
            <w:tcW w:type="dxa" w:w="468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16</w:t>
            </w:r>
          </w:p>
        </w:tc>
        <w:tc>
          <w:tcPr>
            <w:tcW w:type="dxa" w:w="3182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ASQA</w:t>
            </w:r>
            <w:r>
              <w:rPr>
                <w:rFonts w:ascii="Consolas" w:cs="Consolas" w:eastAsia="Consolas" w:hAnsi="Consolas"/>
                <w:color w:val="0F6E70"/>
                <w:sz w:val="16"/>
                <w:szCs w:val="16"/>
              </w:rPr>
              <w:t xml:space="preserve">  2204.06092 [search]</w:t>
            </w:r>
          </w:p>
        </w:tc>
        <w:tc>
          <w:tcPr>
            <w:tcW w:type="dxa" w:w="571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Ambiguous-question long-form benchmark; headline metric is the geometric mean of ROUGE-L and Disambig-F1</w:t>
            </w:r>
          </w:p>
        </w:tc>
      </w:tr>
      <w:tr>
        <w:tc>
          <w:tcPr>
            <w:tcW w:type="dxa" w:w="4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17</w:t>
            </w:r>
          </w:p>
        </w:tc>
        <w:tc>
          <w:tcPr>
            <w:tcW w:type="dxa" w:w="31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Power and Limitations of Aggregation</w:t>
            </w:r>
            <w:r>
              <w:rPr>
                <w:rFonts w:ascii="Consolas" w:cs="Consolas" w:eastAsia="Consolas" w:hAnsi="Consolas"/>
                <w:color w:val="0F6E70"/>
                <w:sz w:val="16"/>
                <w:szCs w:val="16"/>
              </w:rPr>
              <w:t xml:space="preserve">  2602.21556 [read]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Theory of when aggregating multiple model outputs expands the reachable output set</w:t>
            </w:r>
          </w:p>
        </w:tc>
      </w:tr>
      <w:tr>
        <w:tc>
          <w:tcPr>
            <w:tcW w:type="dxa" w:w="468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18</w:t>
            </w:r>
          </w:p>
        </w:tc>
        <w:tc>
          <w:tcPr>
            <w:tcW w:type="dxa" w:w="3182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Collective Intelligence for Biomedical QA</w:t>
            </w:r>
            <w:r>
              <w:rPr>
                <w:rFonts w:ascii="Consolas" w:cs="Consolas" w:eastAsia="Consolas" w:hAnsi="Consolas"/>
                <w:color w:val="0F6E70"/>
                <w:sz w:val="16"/>
                <w:szCs w:val="16"/>
              </w:rPr>
              <w:t xml:space="preserve">  2508.01480 [read]</w:t>
            </w:r>
          </w:p>
        </w:tc>
        <w:tc>
          <w:tcPr>
            <w:tcW w:type="dxa" w:w="571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Multi-LLM list-question answering by taking the plain union of predicted items</w:t>
            </w:r>
          </w:p>
        </w:tc>
      </w:tr>
      <w:tr>
        <w:tc>
          <w:tcPr>
            <w:tcW w:type="dxa" w:w="4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19</w:t>
            </w:r>
          </w:p>
        </w:tc>
        <w:tc>
          <w:tcPr>
            <w:tcW w:type="dxa" w:w="31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Adaptive Coverage Policies</w:t>
            </w:r>
            <w:r>
              <w:rPr>
                <w:rFonts w:ascii="Consolas" w:cs="Consolas" w:eastAsia="Consolas" w:hAnsi="Consolas"/>
                <w:color w:val="0F6E70"/>
                <w:sz w:val="16"/>
                <w:szCs w:val="16"/>
              </w:rPr>
              <w:t xml:space="preserve">  2510.04318 [search]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Conformal prediction with per-example adaptive set size and a target expected size</w:t>
            </w:r>
          </w:p>
        </w:tc>
      </w:tr>
      <w:tr>
        <w:tc>
          <w:tcPr>
            <w:tcW w:type="dxa" w:w="468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20</w:t>
            </w:r>
          </w:p>
        </w:tc>
        <w:tc>
          <w:tcPr>
            <w:tcW w:type="dxa" w:w="3182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Prompt-Reverse Inconsistency</w:t>
            </w:r>
            <w:r>
              <w:rPr>
                <w:rFonts w:ascii="Consolas" w:cs="Consolas" w:eastAsia="Consolas" w:hAnsi="Consolas"/>
                <w:color w:val="0F6E70"/>
                <w:sz w:val="16"/>
                <w:szCs w:val="16"/>
              </w:rPr>
              <w:t xml:space="preserve">  2504.01282 [search]</w:t>
            </w:r>
          </w:p>
        </w:tc>
        <w:tc>
          <w:tcPr>
            <w:tcW w:type="dxa" w:w="571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LLMs give conflicting answers when asked which items are correct versus incorrect</w:t>
            </w:r>
          </w:p>
        </w:tc>
      </w:tr>
      <w:tr>
        <w:tc>
          <w:tcPr>
            <w:tcW w:type="dxa" w:w="4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21</w:t>
            </w:r>
          </w:p>
        </w:tc>
        <w:tc>
          <w:tcPr>
            <w:tcW w:type="dxa" w:w="31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Self-consistency under prompt transformations</w:t>
            </w:r>
            <w:r>
              <w:rPr>
                <w:rFonts w:ascii="Consolas" w:cs="Consolas" w:eastAsia="Consolas" w:hAnsi="Consolas"/>
                <w:color w:val="0F6E70"/>
                <w:sz w:val="16"/>
                <w:szCs w:val="16"/>
              </w:rPr>
              <w:t xml:space="preserve">  2305.14279 [search]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Low consistency across meaning-preserving prompt rewrites</w:t>
            </w:r>
          </w:p>
        </w:tc>
      </w:tr>
      <w:tr>
        <w:tc>
          <w:tcPr>
            <w:tcW w:type="dxa" w:w="468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22</w:t>
            </w:r>
          </w:p>
        </w:tc>
        <w:tc>
          <w:tcPr>
            <w:tcW w:type="dxa" w:w="3182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MAD-Fact / VeriFact</w:t>
            </w:r>
            <w:r>
              <w:rPr>
                <w:rFonts w:ascii="Consolas" w:cs="Consolas" w:eastAsia="Consolas" w:hAnsi="Consolas"/>
                <w:color w:val="0F6E70"/>
                <w:sz w:val="16"/>
                <w:szCs w:val="16"/>
              </w:rPr>
              <w:t xml:space="preserve">  2510.22967, 2505.09701 [search]</w:t>
            </w:r>
          </w:p>
        </w:tc>
        <w:tc>
          <w:tcPr>
            <w:tcW w:type="dxa" w:w="571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Multi-agent atomic-claim pipelines for factuality evaluation rather than answer construction</w:t>
            </w:r>
          </w:p>
        </w:tc>
      </w:tr>
      <w:tr>
        <w:tc>
          <w:tcPr>
            <w:tcW w:type="dxa" w:w="4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23</w:t>
            </w:r>
          </w:p>
        </w:tc>
        <w:tc>
          <w:tcPr>
            <w:tcW w:type="dxa" w:w="31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Reciprocal Rank Fusion</w:t>
            </w:r>
            <w:r>
              <w:rPr>
                <w:rFonts w:ascii="Consolas" w:cs="Consolas" w:eastAsia="Consolas" w:hAnsi="Consolas"/>
                <w:color w:val="0F6E70"/>
                <w:sz w:val="16"/>
                <w:szCs w:val="16"/>
              </w:rPr>
              <w:t xml:space="preserve">  Cormack et al. 2009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6181D"/>
                <w:sz w:val="18"/>
                <w:szCs w:val="18"/>
              </w:rPr>
              <w:t xml:space="preserve">Rank fusion by summing 1/(K + rank); a famously strong parameter-free retrieval baseline</w:t>
            </w:r>
          </w:p>
        </w:tc>
      </w:tr>
    </w:tbl>
    <w:p>
      <w:pPr>
        <w:spacing w:after="110" w:before="320"/>
      </w:pPr>
      <w:r>
        <w:rPr>
          <w:rFonts w:ascii="Calibri" w:cs="Calibri" w:eastAsia="Calibri" w:hAnsi="Calibri"/>
          <w:b/>
          <w:bCs/>
          <w:color w:val="16181D"/>
          <w:sz w:val="24"/>
          <w:szCs w:val="24"/>
        </w:rPr>
        <w:t xml:space="preserve">Three axes</w:t>
      </w:r>
    </w:p>
    <w:p>
      <w:pPr>
        <w:pStyle w:val="ListParagraph"/>
        <w:numPr>
          <w:ilvl w:val="0"/>
          <w:numId w:val="3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Aggregating outputs from multiple models</w:t>
      </w:r>
    </w:p>
    <w:p>
      <w:pPr>
        <w:pStyle w:val="ListParagraph"/>
        <w:numPr>
          <w:ilvl w:val="0"/>
          <w:numId w:val="3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Decomposing long-form answers into atomic claims</w:t>
      </w:r>
    </w:p>
    <w:p>
      <w:pPr>
        <w:pStyle w:val="ListParagraph"/>
        <w:numPr>
          <w:ilvl w:val="0"/>
          <w:numId w:val="3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Estimating per-item reliability without labels</w:t>
      </w:r>
    </w:p>
    <w:p>
      <w:pPr>
        <w:spacing w:after="110" w:before="320"/>
      </w:pPr>
      <w:r>
        <w:rPr>
          <w:rFonts w:ascii="Calibri" w:cs="Calibri" w:eastAsia="Calibri" w:hAnsi="Calibri"/>
          <w:b/>
          <w:bCs/>
          <w:color w:val="16181D"/>
          <w:sz w:val="24"/>
          <w:szCs w:val="24"/>
        </w:rPr>
        <w:t xml:space="preserve">Axis 1 — Aggregating outputs from multiple models</w:t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3D4350"/>
          <w:sz w:val="21"/>
          <w:szCs w:val="21"/>
        </w:rPr>
        <w:t xml:space="preserve">Trajectory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The problem is old and the naive answer is majority voting, which is optimal only under strong and rarely-stated assumptions about independent, equally-reliable voters.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The field first relaxed the equal-reliability assumption: weight each model by how often it has been right, so historically accurate models carry more influence [4].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Recent work goes further and derives </w:t>
      </w:r>
      <w:r>
        <w:rPr>
          <w:rFonts w:ascii="Calibri" w:cs="Calibri" w:eastAsia="Calibri" w:hAnsi="Calibri"/>
          <w:i/>
          <w:iCs/>
          <w:color w:val="16181D"/>
          <w:sz w:val="21"/>
          <w:szCs w:val="21"/>
        </w:rPr>
        <w:t xml:space="preserve">optimal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weights from higher-order information — not just how often a model is right, but the structure of agreement between models [1]. This is the state of the art for discrete answers.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A parallel branch avoids voting entirely: rank complete responses against each other and select or generatively fuse the best [3, 5]. Theoretical work has begun to characterise when aggregation can expand what a system can produce at all [17].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For set-valued answers specifically, practice has not moved past taking the union of every model’s items [18].</w:t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3D4350"/>
          <w:sz w:val="21"/>
          <w:szCs w:val="21"/>
        </w:rPr>
        <w:t xml:space="preserve">Relationship to our work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Our work shares this line’s goal — deriving weights that outperform naive voting — and takes its central open question directly, since §7 of the optimal-weight paper asks how to derive weights for open-ended questions.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The key contrast is discrete versus set-valued.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These methods assume an answer space where two models can emit the same answer. With open-ended sets that never happens at the response level, so response selection provably degenerates to the best single model, and the optimal-weight rule requires per-model accuracy above 0.5, which per-claim precision never reaches.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Unlike this line, we find that once the unit of aggregation becomes the claim rather than the response, model identity carries far less information than expected — and we quantify exactly how much.</w:t>
      </w:r>
    </w:p>
    <w:p>
      <w:pPr>
        <w:spacing w:after="110" w:before="320"/>
      </w:pPr>
      <w:r>
        <w:rPr>
          <w:rFonts w:ascii="Calibri" w:cs="Calibri" w:eastAsia="Calibri" w:hAnsi="Calibri"/>
          <w:b/>
          <w:bCs/>
          <w:color w:val="16181D"/>
          <w:sz w:val="24"/>
          <w:szCs w:val="24"/>
        </w:rPr>
        <w:t xml:space="preserve">Axis 2 — Decomposing long-form answers into atomic claims</w:t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3D4350"/>
          <w:sz w:val="21"/>
          <w:szCs w:val="21"/>
        </w:rPr>
        <w:t xml:space="preserve">Trajectory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Self-consistency works by sampling repeatedly and taking the modal answer, which requires an extractable answer to compare. That restriction motivated a version where the model itself judges which of several free-form responses is most consistent [3].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The decisive step was decomposing a long answer into atomic units so that agreement can be measured </w:t>
      </w:r>
      <w:r>
        <w:rPr>
          <w:rFonts w:ascii="Calibri" w:cs="Calibri" w:eastAsia="Calibri" w:hAnsi="Calibri"/>
          <w:i/>
          <w:iCs/>
          <w:color w:val="16181D"/>
          <w:sz w:val="21"/>
          <w:szCs w:val="21"/>
        </w:rPr>
        <w:t xml:space="preserve">within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an answer rather than between whole answers: cluster the units, keep those with enough support, and recompose [2].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That decomposition has since become general infrastructure — used for factuality evaluation of long-form text [22] and for calibration at claim level inside one model [7].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Most recently it has been applied across models, filtering claims by cross-model agreement [6].</w:t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3D4350"/>
          <w:sz w:val="21"/>
          <w:szCs w:val="21"/>
        </w:rPr>
        <w:t xml:space="preserve">Relationship to our work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We adopt this decomposition wholesale as our task setup; it is what makes multi-model aggregation of long-form answers tractable at all.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The key contrast is one model versus many.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Prior work draws repeated samples from a single model, so "who said it" does not exist as a variable. Ours is the first setting where the atoms come from </w:t>
      </w:r>
      <w:r>
        <w:rPr>
          <w:rFonts w:ascii="Calibri" w:cs="Calibri" w:eastAsia="Calibri" w:hAnsi="Calibri"/>
          <w:i/>
          <w:iCs/>
          <w:color w:val="16181D"/>
          <w:sz w:val="21"/>
          <w:szCs w:val="21"/>
        </w:rPr>
        <w:t xml:space="preserve">different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models and identity is available.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The result is counter-intuitive and is our main negative finding: having model identity available turns out to be worth almost nothing, and we prove the bound rather than reporting a failure to exploit it.</w:t>
      </w:r>
    </w:p>
    <w:p>
      <w:pPr>
        <w:spacing w:after="110" w:before="320"/>
      </w:pPr>
      <w:r>
        <w:rPr>
          <w:rFonts w:ascii="Calibri" w:cs="Calibri" w:eastAsia="Calibri" w:hAnsi="Calibri"/>
          <w:b/>
          <w:bCs/>
          <w:color w:val="16181D"/>
          <w:sz w:val="24"/>
          <w:szCs w:val="24"/>
        </w:rPr>
        <w:t xml:space="preserve">Axis 3 — Estimating per-item reliability without labels</w:t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3D4350"/>
          <w:sz w:val="21"/>
          <w:szCs w:val="21"/>
        </w:rPr>
        <w:t xml:space="preserve">Trajectory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Long before LLMs, crowdsourcing faced the same problem — many noisy annotators, no ground truth — and solved it by estimating each annotator’s reliability from patterns of disagreement [10, 11]. That machinery has recently been carried over to deep-model ensembles [12].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In parallel, LLM research has looked for label-free correctness signals in model </w:t>
      </w:r>
      <w:r>
        <w:rPr>
          <w:rFonts w:ascii="Calibri" w:cs="Calibri" w:eastAsia="Calibri" w:hAnsi="Calibri"/>
          <w:i/>
          <w:iCs/>
          <w:color w:val="16181D"/>
          <w:sz w:val="21"/>
          <w:szCs w:val="21"/>
        </w:rPr>
        <w:t xml:space="preserve">behaviour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rather than in agreement: how long the response is [13, 14], how stable it is under paraphrase or perturbation [8, 20, 21], and how output position affects what a model selects [9].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Separately, conformal prediction supplies principled machinery for varying the size of a prediction set per example, though under coverage guarantees rather than an F1 objective [19].</w:t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3D4350"/>
          <w:sz w:val="21"/>
          <w:szCs w:val="21"/>
        </w:rPr>
        <w:t xml:space="preserve">Relationship to our work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Our support-pattern and Naive-Bayes arms </w:t>
      </w:r>
      <w:r>
        <w:rPr>
          <w:rFonts w:ascii="Calibri" w:cs="Calibri" w:eastAsia="Calibri" w:hAnsi="Calibri"/>
          <w:i/>
          <w:iCs/>
          <w:color w:val="16181D"/>
          <w:sz w:val="21"/>
          <w:szCs w:val="21"/>
        </w:rPr>
        <w:t xml:space="preserve">are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annotator-reliability models applied to LLM agents. We present them as baselines and as the ceiling, not as contributions, and credit that literature accordingly.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The key contrast is response-level versus claim-level, and asserters versus abstainers.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Existing behavioural signals score a whole response from one model. We use output structure per claim inside a multi-model set, and extend it to the models that stayed </w:t>
      </w:r>
      <w:r>
        <w:rPr>
          <w:rFonts w:ascii="Calibri" w:cs="Calibri" w:eastAsia="Calibri" w:hAnsi="Calibri"/>
          <w:i/>
          <w:iCs/>
          <w:color w:val="16181D"/>
          <w:sz w:val="21"/>
          <w:szCs w:val="21"/>
        </w:rPr>
        <w:t xml:space="preserve">silent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where no prior signal exists — a silent agent has no response to score and no position to read, so how much it said elsewhere is the only available evidence.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On position specifically, prior work measures how position in a model’s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input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biases what it selects [9]. We use position in a model’s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own output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as a correctness signal, which is a different quantity and, as far as our search found, unclaimed.</w:t>
      </w:r>
    </w:p>
    <w:p>
      <w:pPr>
        <w:pBdr>
          <w:bottom w:val="single" w:color="0F6E70" w:sz="8" w:space="6"/>
        </w:pBdr>
        <w:spacing w:after="60" w:before="440"/>
      </w:pPr>
      <w:r>
        <w:rPr>
          <w:rFonts w:ascii="Calibri" w:cs="Calibri" w:eastAsia="Calibri" w:hAnsi="Calibri"/>
          <w:b/>
          <w:bCs/>
          <w:color w:val="16181D"/>
          <w:sz w:val="32"/>
          <w:szCs w:val="32"/>
        </w:rPr>
        <w:t xml:space="preserve">Open decisions before writing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Settled 23 Aug: 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boosting is removed from the method. Leave-one-source-out showed the boosted blend transfers worst of any arm, so the method is the plain rank scorer plus budget. Boosting is now reported as a rejected ablation.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Lead with the ceiling result or with the method? The ceiling is the more novel framing; the method is the more conventional one.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15 of 23 references are still marked [search] and need direct reads before citation.</w:t>
      </w:r>
    </w:p>
    <w:p>
      <w:pPr>
        <w:pStyle w:val="ListParagraph"/>
        <w:numPr>
          <w:ilvl w:val="0"/>
          <w:numId w:val="2"/>
        </w:numPr>
        <w:spacing w:after="130" w:before="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The resources doc was not readable (401) — this outline answers the questions as stated in the assignment template and follows the linked related-work structure. Worth confirming nothing was missed.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outline — Introduction and Related Works</dc:title>
  <dc:creator>Open-ended aggregation</dc:creator>
  <cp:lastModifiedBy>Un-named</cp:lastModifiedBy>
  <cp:revision>1</cp:revision>
  <dcterms:created xsi:type="dcterms:W3CDTF">2026-08-23T06:45:44.185Z</dcterms:created>
  <dcterms:modified xsi:type="dcterms:W3CDTF">2026-08-23T06:45:44.194Z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