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0"/>
          <w:szCs w:val="40"/>
        </w:rPr>
        <w:t xml:space="preserve">Open-Ended LLM Answer Aggregation</w:t>
      </w:r>
    </w:p>
    <w:p>
      <w:pPr>
        <w:spacing w:after="40" w:before="0" w:line="276"/>
      </w:pPr>
      <w:r>
        <w:rPr>
          <w:i/>
          <w:iCs/>
          <w:sz w:val="22"/>
          <w:szCs w:val="22"/>
        </w:rPr>
        <w:t xml:space="preserve">Results and progress report — 17 August 2026</w:t>
      </w:r>
    </w:p>
    <w:p>
      <w:pPr>
        <w:spacing w:after="200" w:before="0" w:line="276"/>
      </w:pPr>
      <w:r>
        <w:rPr>
          <w:sz w:val="20"/>
          <w:szCs w:val="20"/>
        </w:rPr>
        <w:t xml:space="preserve">Extending Ai et al., Beyond Majority Voting: LLM Aggregation by Leveraging Higher-Order Information (ICML 2026, arXiv:2510.01499) from multiple choice to open-ended answers.</w:t>
      </w:r>
    </w:p>
    <w:p>
      <w:pPr>
        <w:pBdr>
          <w:bottom w:val="single" w:color="BFBFBF" w:sz="6"/>
        </w:pBdr>
        <w:spacing w:after="160" w:before="60"/>
      </w:pPr>
    </w:p>
    <w:p>
      <w:pPr>
        <w:pStyle w:val="Heading1"/>
        <w:spacing w:after="140" w:before="280"/>
      </w:pPr>
      <w:r>
        <w:rPr>
          <w:b/>
          <w:bCs/>
          <w:color w:val="1F3864"/>
          <w:sz w:val="30"/>
          <w:szCs w:val="30"/>
        </w:rPr>
        <w:t xml:space="preserve">Summary</w:t>
      </w:r>
    </w:p>
    <w:p>
      <w:pPr>
        <w:pStyle w:val="ListParagraph"/>
        <w:numPr>
          <w:ilvl w:val="0"/>
          <w:numId w:val="2"/>
        </w:numPr>
        <w:spacing w:after="120" w:line="276"/>
      </w:pPr>
      <w:r>
        <w:rPr>
          <w:b/>
          <w:bCs/>
          <w:sz w:val="21"/>
          <w:szCs w:val="21"/>
        </w:rPr>
        <w:t xml:space="preserve">Merging beats selection. </w:t>
      </w:r>
      <w:r>
        <w:rPr>
          <w:sz w:val="21"/>
          <w:szCs w:val="21"/>
        </w:rPr>
        <w:t xml:space="preserve">On QAMPARI, assembling an answer from atomic claims across five models beats the best single model by </w:t>
      </w:r>
      <w:r>
        <w:rPr>
          <w:b/>
          <w:bCs/>
          <w:sz w:val="21"/>
          <w:szCs w:val="21"/>
        </w:rPr>
        <w:t xml:space="preserve">+2.00 F1 [+1.11, +2.96]</w:t>
      </w:r>
      <w:r>
        <w:rPr>
          <w:sz w:val="21"/>
          <w:szCs w:val="21"/>
        </w:rPr>
        <w:t xml:space="preserve">, CI excluding zero. This has held at every sample size tested, from n=198 to n=535.</w:t>
      </w:r>
    </w:p>
    <w:p>
      <w:pPr>
        <w:pStyle w:val="ListParagraph"/>
        <w:numPr>
          <w:ilvl w:val="0"/>
          <w:numId w:val="2"/>
        </w:numPr>
        <w:spacing w:after="120" w:line="276"/>
      </w:pPr>
      <w:r>
        <w:rPr>
          <w:b/>
          <w:bCs/>
          <w:color w:val="9C2A2A"/>
          <w:sz w:val="21"/>
          <w:szCs w:val="21"/>
        </w:rPr>
        <w:t xml:space="preserve">The reliability weighting contributes nothing. </w:t>
      </w:r>
      <w:r>
        <w:rPr>
          <w:sz w:val="21"/>
          <w:szCs w:val="21"/>
        </w:rPr>
        <w:t xml:space="preserve">Weighted merging beats the unweighted count filter by </w:t>
      </w:r>
      <w:r>
        <w:rPr>
          <w:b/>
          <w:bCs/>
          <w:sz w:val="21"/>
          <w:szCs w:val="21"/>
        </w:rPr>
        <w:t xml:space="preserve">+0.08 [−0.55, +0.76]</w:t>
      </w:r>
      <w:r>
        <w:rPr>
          <w:sz w:val="21"/>
          <w:szCs w:val="21"/>
        </w:rPr>
        <w:t xml:space="preserve"> — a tight null, not an underpowered one. The margin has collapsed monotonically as n grew: +1.12 → +0.45 → +0.37 → +0.08.</w:t>
      </w:r>
    </w:p>
    <w:p>
      <w:pPr>
        <w:pStyle w:val="ListParagraph"/>
        <w:numPr>
          <w:ilvl w:val="0"/>
          <w:numId w:val="2"/>
        </w:numPr>
        <w:spacing w:after="120" w:line="276"/>
      </w:pPr>
      <w:r>
        <w:rPr>
          <w:b/>
          <w:bCs/>
          <w:sz w:val="21"/>
          <w:szCs w:val="21"/>
        </w:rPr>
        <w:t xml:space="preserve">Majority voting actively hurts. </w:t>
      </w:r>
      <w:r>
        <w:rPr>
          <w:sz w:val="21"/>
          <w:szCs w:val="21"/>
        </w:rPr>
        <w:t xml:space="preserve">Strict majority scores 3.38 points </w:t>
      </w:r>
      <w:r>
        <w:rPr>
          <w:i/>
          <w:iCs/>
          <w:sz w:val="21"/>
          <w:szCs w:val="21"/>
        </w:rPr>
        <w:t xml:space="preserve">below</w:t>
      </w:r>
      <w:r>
        <w:rPr>
          <w:sz w:val="21"/>
          <w:szCs w:val="21"/>
        </w:rPr>
        <w:t xml:space="preserve"> the best single model. The standard rule does not transfer to set-valued answers.</w:t>
      </w:r>
    </w:p>
    <w:p>
      <w:pPr>
        <w:pStyle w:val="ListParagraph"/>
        <w:numPr>
          <w:ilvl w:val="0"/>
          <w:numId w:val="2"/>
        </w:numPr>
        <w:spacing w:after="120" w:line="276"/>
      </w:pPr>
      <w:r>
        <w:rPr>
          <w:b/>
          <w:bCs/>
          <w:sz w:val="21"/>
          <w:szCs w:val="21"/>
        </w:rPr>
        <w:t xml:space="preserve">The published OW rule is structurally inert here. </w:t>
      </w:r>
      <w:r>
        <w:rPr>
          <w:sz w:val="21"/>
          <w:szCs w:val="21"/>
        </w:rPr>
        <w:t xml:space="preserve">With global weights and open-ended answers no two responses coincide, so its weighted vote always returns the highest-weighted model. It reproduces best-single exactly (+0.00, zero-width CI).</w:t>
      </w:r>
    </w:p>
    <w:p>
      <w:pPr>
        <w:pStyle w:val="ListParagraph"/>
        <w:numPr>
          <w:ilvl w:val="0"/>
          <w:numId w:val="2"/>
        </w:numPr>
        <w:spacing w:after="120" w:line="276"/>
      </w:pPr>
      <w:r>
        <w:rPr>
          <w:b/>
          <w:bCs/>
          <w:color w:val="9C2A2A"/>
          <w:sz w:val="21"/>
          <w:szCs w:val="21"/>
        </w:rPr>
        <w:t xml:space="preserve">No second benchmark can replicate this. </w:t>
      </w:r>
      <w:r>
        <w:rPr>
          <w:sz w:val="21"/>
          <w:szCs w:val="21"/>
        </w:rPr>
        <w:t xml:space="preserve">ASQA's metric is recall-only and FACTS's is precision-only; neither can score the precision/recall tradeoff a merging filter operates on. This is a property of the metrics, not of the method.</w:t>
      </w:r>
    </w:p>
    <w:p>
      <w:pPr>
        <w:pStyle w:val="Heading1"/>
        <w:spacing w:after="140" w:before="280"/>
      </w:pPr>
      <w:r>
        <w:rPr>
          <w:b/>
          <w:bCs/>
          <w:color w:val="1F3864"/>
          <w:sz w:val="30"/>
          <w:szCs w:val="30"/>
        </w:rPr>
        <w:t xml:space="preserve">1. Method comparison</w:t>
      </w:r>
    </w:p>
    <w:p>
      <w:pPr>
        <w:spacing w:after="120" w:before="0" w:line="276"/>
      </w:pPr>
      <w:r>
        <w:rPr>
          <w:sz w:val="20"/>
          <w:szCs w:val="20"/>
        </w:rPr>
        <w:t xml:space="preserve">QAMPARI, set-F1, 5 Azure models, judge-free grading, n=535 complete questions. All arms operate on the same parsed item sets; only the keep-rule differs. Paired bootstrap over questions, 10,000 resamples.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40"/>
        <w:gridCol w:w="900"/>
        <w:gridCol w:w="1200"/>
        <w:gridCol w:w="1760"/>
        <w:gridCol w:w="2760"/>
      </w:tblGrid>
      <w:tr>
        <w:trPr>
          <w:tblHeader/>
        </w:trPr>
        <w:tc>
          <w:tcPr>
            <w:tcW w:type="dxa" w:w="2740"/>
            <w:shd w:fill="1F3864" w:color="auto" w:val="clear"/>
            <w:tcMar>
              <w:top w:type="dxa" w:w="70"/>
              <w:left w:type="dxa" w:w="110"/>
              <w:bottom w:type="dxa" w:w="70"/>
              <w:right w:type="dxa" w:w="110"/>
            </w:tcMar>
          </w:tcPr>
          <w:p>
            <w:pPr>
              <w:spacing w:after="0" w:line="240"/>
            </w:pPr>
            <w:r>
              <w:rPr>
                <w:b/>
                <w:bCs/>
                <w:color w:val="FFFFFF"/>
                <w:sz w:val="19"/>
                <w:szCs w:val="19"/>
              </w:rPr>
              <w:t xml:space="preserve">method</w:t>
            </w:r>
          </w:p>
        </w:tc>
        <w:tc>
          <w:tcPr>
            <w:tcW w:type="dxa" w:w="900"/>
            <w:shd w:fill="1F3864" w:color="auto" w:val="clear"/>
            <w:tcMar>
              <w:top w:type="dxa" w:w="70"/>
              <w:left w:type="dxa" w:w="110"/>
              <w:bottom w:type="dxa" w:w="70"/>
              <w:right w:type="dxa" w:w="110"/>
            </w:tcMar>
          </w:tcPr>
          <w:p>
            <w:pPr>
              <w:spacing w:after="0" w:line="240"/>
              <w:jc w:val="center"/>
            </w:pPr>
            <w:r>
              <w:rPr>
                <w:b/>
                <w:bCs/>
                <w:color w:val="FFFFFF"/>
                <w:sz w:val="19"/>
                <w:szCs w:val="19"/>
              </w:rPr>
              <w:t xml:space="preserve">F1</w:t>
            </w:r>
          </w:p>
        </w:tc>
        <w:tc>
          <w:tcPr>
            <w:tcW w:type="dxa" w:w="1200"/>
            <w:shd w:fill="1F3864" w:color="auto" w:val="clear"/>
            <w:tcMar>
              <w:top w:type="dxa" w:w="70"/>
              <w:left w:type="dxa" w:w="110"/>
              <w:bottom w:type="dxa" w:w="70"/>
              <w:right w:type="dxa" w:w="110"/>
            </w:tcMar>
          </w:tcPr>
          <w:p>
            <w:pPr>
              <w:spacing w:after="0" w:line="240"/>
              <w:jc w:val="center"/>
            </w:pPr>
            <w:r>
              <w:rPr>
                <w:b/>
                <w:bCs/>
                <w:color w:val="FFFFFF"/>
                <w:sz w:val="19"/>
                <w:szCs w:val="19"/>
              </w:rPr>
              <w:t xml:space="preserve">Δ vs best</w:t>
            </w:r>
          </w:p>
        </w:tc>
        <w:tc>
          <w:tcPr>
            <w:tcW w:type="dxa" w:w="1760"/>
            <w:shd w:fill="1F3864" w:color="auto" w:val="clear"/>
            <w:tcMar>
              <w:top w:type="dxa" w:w="70"/>
              <w:left w:type="dxa" w:w="110"/>
              <w:bottom w:type="dxa" w:w="70"/>
              <w:right w:type="dxa" w:w="110"/>
            </w:tcMar>
          </w:tcPr>
          <w:p>
            <w:pPr>
              <w:spacing w:after="0" w:line="240"/>
              <w:jc w:val="center"/>
            </w:pPr>
            <w:r>
              <w:rPr>
                <w:b/>
                <w:bCs/>
                <w:color w:val="FFFFFF"/>
                <w:sz w:val="19"/>
                <w:szCs w:val="19"/>
              </w:rPr>
              <w:t xml:space="preserve">95% CI</w:t>
            </w:r>
          </w:p>
        </w:tc>
        <w:tc>
          <w:tcPr>
            <w:tcW w:type="dxa" w:w="2760"/>
            <w:shd w:fill="1F3864" w:color="auto" w:val="clear"/>
            <w:tcMar>
              <w:top w:type="dxa" w:w="70"/>
              <w:left w:type="dxa" w:w="110"/>
              <w:bottom w:type="dxa" w:w="70"/>
              <w:right w:type="dxa" w:w="110"/>
            </w:tcMar>
          </w:tcPr>
          <w:p>
            <w:pPr>
              <w:spacing w:after="0" w:line="240"/>
              <w:jc w:val="center"/>
            </w:pPr>
            <w:r>
              <w:rPr>
                <w:b/>
                <w:bCs/>
                <w:color w:val="FFFFFF"/>
                <w:sz w:val="19"/>
                <w:szCs w:val="19"/>
              </w:rPr>
              <w:t xml:space="preserve">note</w:t>
            </w:r>
          </w:p>
        </w:tc>
      </w:tr>
      <w:tr>
        <w:tc>
          <w:tcPr>
            <w:tcW w:type="dxa" w:w="2740"/>
            <w:tcMar>
              <w:top w:type="dxa" w:w="70"/>
              <w:left w:type="dxa" w:w="110"/>
              <w:bottom w:type="dxa" w:w="70"/>
              <w:right w:type="dxa" w:w="110"/>
            </w:tcMar>
          </w:tcPr>
          <w:p>
            <w:pPr>
              <w:spacing w:after="0" w:line="240"/>
            </w:pPr>
            <w:r>
              <w:rPr>
                <w:sz w:val="19"/>
                <w:szCs w:val="19"/>
              </w:rPr>
              <w:t xml:space="preserve">mean single model</w:t>
            </w:r>
          </w:p>
        </w:tc>
        <w:tc>
          <w:tcPr>
            <w:tcW w:type="dxa" w:w="900"/>
            <w:tcMar>
              <w:top w:type="dxa" w:w="70"/>
              <w:left w:type="dxa" w:w="110"/>
              <w:bottom w:type="dxa" w:w="70"/>
              <w:right w:type="dxa" w:w="110"/>
            </w:tcMar>
          </w:tcPr>
          <w:p>
            <w:pPr>
              <w:spacing w:after="0" w:line="240"/>
              <w:jc w:val="center"/>
            </w:pPr>
            <w:r>
              <w:rPr>
                <w:rFonts w:ascii="Consolas" w:cs="Consolas" w:eastAsia="Consolas" w:hAnsi="Consolas"/>
                <w:sz w:val="19"/>
                <w:szCs w:val="19"/>
              </w:rPr>
              <w:t xml:space="preserve">19.06</w:t>
            </w:r>
          </w:p>
        </w:tc>
        <w:tc>
          <w:tcPr>
            <w:tcW w:type="dxa" w:w="1200"/>
            <w:tcMar>
              <w:top w:type="dxa" w:w="70"/>
              <w:left w:type="dxa" w:w="110"/>
              <w:bottom w:type="dxa" w:w="70"/>
              <w:right w:type="dxa" w:w="110"/>
            </w:tcMar>
          </w:tcPr>
          <w:p>
            <w:pPr>
              <w:spacing w:after="0" w:line="240"/>
              <w:jc w:val="center"/>
            </w:pPr>
            <w:r>
              <w:rPr>
                <w:rFonts w:ascii="Consolas" w:cs="Consolas" w:eastAsia="Consolas" w:hAnsi="Consolas"/>
                <w:color w:val="9C2A2A"/>
                <w:sz w:val="19"/>
                <w:szCs w:val="19"/>
              </w:rPr>
              <w:t xml:space="preserve">−7.12</w:t>
            </w:r>
          </w:p>
        </w:tc>
        <w:tc>
          <w:tcPr>
            <w:tcW w:type="dxa" w:w="1760"/>
            <w:tcMar>
              <w:top w:type="dxa" w:w="70"/>
              <w:left w:type="dxa" w:w="110"/>
              <w:bottom w:type="dxa" w:w="70"/>
              <w:right w:type="dxa" w:w="110"/>
            </w:tcMar>
          </w:tcPr>
          <w:p>
            <w:pPr>
              <w:spacing w:after="0" w:line="240"/>
              <w:jc w:val="center"/>
            </w:pPr>
            <w:r>
              <w:rPr>
                <w:rFonts w:ascii="Consolas" w:cs="Consolas" w:eastAsia="Consolas" w:hAnsi="Consolas"/>
                <w:sz w:val="19"/>
                <w:szCs w:val="19"/>
              </w:rPr>
              <w:t xml:space="preserve">[−8.39, −5.87] *</w:t>
            </w:r>
          </w:p>
        </w:tc>
        <w:tc>
          <w:tcPr>
            <w:tcW w:type="dxa" w:w="2760"/>
            <w:tcMar>
              <w:top w:type="dxa" w:w="70"/>
              <w:left w:type="dxa" w:w="110"/>
              <w:bottom w:type="dxa" w:w="70"/>
              <w:right w:type="dxa" w:w="110"/>
            </w:tcMar>
          </w:tcPr>
          <w:p>
            <w:pPr>
              <w:spacing w:after="0" w:line="240"/>
              <w:jc w:val="center"/>
            </w:pPr>
            <w:r>
              <w:rPr>
                <w:rFonts w:ascii="Consolas" w:cs="Consolas" w:eastAsia="Consolas" w:hAnsi="Consolas"/>
                <w:sz w:val="19"/>
                <w:szCs w:val="19"/>
              </w:rPr>
              <w:t xml:space="preserve">no aggregation</w:t>
            </w:r>
          </w:p>
        </w:tc>
      </w:tr>
      <w:tr>
        <w:tc>
          <w:tcPr>
            <w:tcW w:type="dxa" w:w="2740"/>
            <w:shd w:fill="F2F2F2" w:color="auto" w:val="clear"/>
            <w:tcMar>
              <w:top w:type="dxa" w:w="70"/>
              <w:left w:type="dxa" w:w="110"/>
              <w:bottom w:type="dxa" w:w="70"/>
              <w:right w:type="dxa" w:w="110"/>
            </w:tcMar>
          </w:tcPr>
          <w:p>
            <w:pPr>
              <w:spacing w:after="0" w:line="240"/>
            </w:pPr>
            <w:r>
              <w:rPr>
                <w:b/>
                <w:bCs/>
                <w:sz w:val="19"/>
                <w:szCs w:val="19"/>
              </w:rPr>
              <w:t xml:space="preserve">best single (grok-4.3)</w:t>
            </w:r>
          </w:p>
        </w:tc>
        <w:tc>
          <w:tcPr>
            <w:tcW w:type="dxa" w:w="900"/>
            <w:shd w:fill="F2F2F2" w:color="auto" w:val="clear"/>
            <w:tcMar>
              <w:top w:type="dxa" w:w="70"/>
              <w:left w:type="dxa" w:w="110"/>
              <w:bottom w:type="dxa" w:w="70"/>
              <w:right w:type="dxa" w:w="110"/>
            </w:tcMar>
          </w:tcPr>
          <w:p>
            <w:pPr>
              <w:spacing w:after="0" w:line="240"/>
              <w:jc w:val="center"/>
            </w:pPr>
            <w:r>
              <w:rPr>
                <w:rFonts w:ascii="Consolas" w:cs="Consolas" w:eastAsia="Consolas" w:hAnsi="Consolas"/>
                <w:b/>
                <w:bCs/>
                <w:sz w:val="19"/>
                <w:szCs w:val="19"/>
              </w:rPr>
              <w:t xml:space="preserve">26.18</w:t>
            </w:r>
          </w:p>
        </w:tc>
        <w:tc>
          <w:tcPr>
            <w:tcW w:type="dxa" w:w="1200"/>
            <w:shd w:fill="F2F2F2" w:color="auto" w:val="clear"/>
            <w:tcMar>
              <w:top w:type="dxa" w:w="70"/>
              <w:left w:type="dxa" w:w="110"/>
              <w:bottom w:type="dxa" w:w="70"/>
              <w:right w:type="dxa" w:w="110"/>
            </w:tcMar>
          </w:tcPr>
          <w:p>
            <w:pPr>
              <w:spacing w:after="0" w:line="240"/>
              <w:jc w:val="center"/>
            </w:pPr>
            <w:r>
              <w:rPr>
                <w:rFonts w:ascii="Consolas" w:cs="Consolas" w:eastAsia="Consolas" w:hAnsi="Consolas"/>
                <w:sz w:val="19"/>
                <w:szCs w:val="19"/>
              </w:rPr>
              <w:t xml:space="preserve">—</w:t>
            </w:r>
          </w:p>
        </w:tc>
        <w:tc>
          <w:tcPr>
            <w:tcW w:type="dxa" w:w="1760"/>
            <w:shd w:fill="F2F2F2" w:color="auto" w:val="clear"/>
            <w:tcMar>
              <w:top w:type="dxa" w:w="70"/>
              <w:left w:type="dxa" w:w="110"/>
              <w:bottom w:type="dxa" w:w="70"/>
              <w:right w:type="dxa" w:w="110"/>
            </w:tcMar>
          </w:tcPr>
          <w:p>
            <w:pPr>
              <w:spacing w:after="0" w:line="240"/>
              <w:jc w:val="center"/>
            </w:pPr>
            <w:r>
              <w:rPr>
                <w:rFonts w:ascii="Consolas" w:cs="Consolas" w:eastAsia="Consolas" w:hAnsi="Consolas"/>
                <w:sz w:val="19"/>
                <w:szCs w:val="19"/>
              </w:rPr>
              <w:t xml:space="preserve">reference</w:t>
            </w:r>
          </w:p>
        </w:tc>
        <w:tc>
          <w:tcPr>
            <w:tcW w:type="dxa" w:w="2760"/>
            <w:shd w:fill="F2F2F2" w:color="auto" w:val="clear"/>
            <w:tcMar>
              <w:top w:type="dxa" w:w="70"/>
              <w:left w:type="dxa" w:w="110"/>
              <w:bottom w:type="dxa" w:w="70"/>
              <w:right w:type="dxa" w:w="110"/>
            </w:tcMar>
          </w:tcPr>
          <w:p>
            <w:pPr>
              <w:spacing w:after="0" w:line="240"/>
              <w:jc w:val="center"/>
            </w:pPr>
            <w:r>
              <w:rPr>
                <w:rFonts w:ascii="Consolas" w:cs="Consolas" w:eastAsia="Consolas" w:hAnsi="Consolas"/>
                <w:sz w:val="19"/>
                <w:szCs w:val="19"/>
              </w:rPr>
              <w:t xml:space="preserve">no aggregation</w:t>
            </w:r>
          </w:p>
        </w:tc>
      </w:tr>
      <w:tr>
        <w:tc>
          <w:tcPr>
            <w:tcW w:type="dxa" w:w="2740"/>
            <w:tcMar>
              <w:top w:type="dxa" w:w="70"/>
              <w:left w:type="dxa" w:w="110"/>
              <w:bottom w:type="dxa" w:w="70"/>
              <w:right w:type="dxa" w:w="110"/>
            </w:tcMar>
          </w:tcPr>
          <w:p>
            <w:pPr>
              <w:spacing w:after="0" w:line="240"/>
            </w:pPr>
            <w:r>
              <w:rPr>
                <w:sz w:val="19"/>
                <w:szCs w:val="19"/>
              </w:rPr>
              <w:t xml:space="preserve">OW — response selection</w:t>
            </w:r>
          </w:p>
        </w:tc>
        <w:tc>
          <w:tcPr>
            <w:tcW w:type="dxa" w:w="900"/>
            <w:tcMar>
              <w:top w:type="dxa" w:w="70"/>
              <w:left w:type="dxa" w:w="110"/>
              <w:bottom w:type="dxa" w:w="70"/>
              <w:right w:type="dxa" w:w="110"/>
            </w:tcMar>
          </w:tcPr>
          <w:p>
            <w:pPr>
              <w:spacing w:after="0" w:line="240"/>
              <w:jc w:val="center"/>
            </w:pPr>
            <w:r>
              <w:rPr>
                <w:rFonts w:ascii="Consolas" w:cs="Consolas" w:eastAsia="Consolas" w:hAnsi="Consolas"/>
                <w:sz w:val="19"/>
                <w:szCs w:val="19"/>
              </w:rPr>
              <w:t xml:space="preserve">26.18</w:t>
            </w:r>
          </w:p>
        </w:tc>
        <w:tc>
          <w:tcPr>
            <w:tcW w:type="dxa" w:w="1200"/>
            <w:tcMar>
              <w:top w:type="dxa" w:w="70"/>
              <w:left w:type="dxa" w:w="110"/>
              <w:bottom w:type="dxa" w:w="70"/>
              <w:right w:type="dxa" w:w="110"/>
            </w:tcMar>
          </w:tcPr>
          <w:p>
            <w:pPr>
              <w:spacing w:after="0" w:line="240"/>
              <w:jc w:val="center"/>
            </w:pPr>
            <w:r>
              <w:rPr>
                <w:rFonts w:ascii="Consolas" w:cs="Consolas" w:eastAsia="Consolas" w:hAnsi="Consolas"/>
                <w:sz w:val="19"/>
                <w:szCs w:val="19"/>
              </w:rPr>
              <w:t xml:space="preserve">+0.00</w:t>
            </w:r>
          </w:p>
        </w:tc>
        <w:tc>
          <w:tcPr>
            <w:tcW w:type="dxa" w:w="1760"/>
            <w:tcMar>
              <w:top w:type="dxa" w:w="70"/>
              <w:left w:type="dxa" w:w="110"/>
              <w:bottom w:type="dxa" w:w="70"/>
              <w:right w:type="dxa" w:w="110"/>
            </w:tcMar>
          </w:tcPr>
          <w:p>
            <w:pPr>
              <w:spacing w:after="0" w:line="240"/>
              <w:jc w:val="center"/>
            </w:pPr>
            <w:r>
              <w:rPr>
                <w:rFonts w:ascii="Consolas" w:cs="Consolas" w:eastAsia="Consolas" w:hAnsi="Consolas"/>
                <w:sz w:val="19"/>
                <w:szCs w:val="19"/>
              </w:rPr>
              <w:t xml:space="preserve">[+0.00, +0.00]</w:t>
            </w:r>
          </w:p>
        </w:tc>
        <w:tc>
          <w:tcPr>
            <w:tcW w:type="dxa" w:w="2760"/>
            <w:tcMar>
              <w:top w:type="dxa" w:w="70"/>
              <w:left w:type="dxa" w:w="110"/>
              <w:bottom w:type="dxa" w:w="70"/>
              <w:right w:type="dxa" w:w="110"/>
            </w:tcMar>
          </w:tcPr>
          <w:p>
            <w:pPr>
              <w:spacing w:after="0" w:line="240"/>
              <w:jc w:val="center"/>
            </w:pPr>
            <w:r>
              <w:rPr>
                <w:rFonts w:ascii="Consolas" w:cs="Consolas" w:eastAsia="Consolas" w:hAnsi="Consolas"/>
                <w:sz w:val="19"/>
                <w:szCs w:val="19"/>
              </w:rPr>
              <w:t xml:space="preserve">degenerates to best model</w:t>
            </w:r>
          </w:p>
        </w:tc>
      </w:tr>
      <w:tr>
        <w:tc>
          <w:tcPr>
            <w:tcW w:type="dxa" w:w="2740"/>
            <w:shd w:fill="F2F2F2" w:color="auto" w:val="clear"/>
            <w:tcMar>
              <w:top w:type="dxa" w:w="70"/>
              <w:left w:type="dxa" w:w="110"/>
              <w:bottom w:type="dxa" w:w="70"/>
              <w:right w:type="dxa" w:w="110"/>
            </w:tcMar>
          </w:tcPr>
          <w:p>
            <w:pPr>
              <w:spacing w:after="0" w:line="240"/>
            </w:pPr>
            <w:r>
              <w:rPr>
                <w:sz w:val="19"/>
                <w:szCs w:val="19"/>
              </w:rPr>
              <w:t xml:space="preserve">OW — log-odds item filter</w:t>
            </w:r>
          </w:p>
        </w:tc>
        <w:tc>
          <w:tcPr>
            <w:tcW w:type="dxa" w:w="900"/>
            <w:shd w:fill="F2F2F2" w:color="auto" w:val="clear"/>
            <w:tcMar>
              <w:top w:type="dxa" w:w="70"/>
              <w:left w:type="dxa" w:w="110"/>
              <w:bottom w:type="dxa" w:w="70"/>
              <w:right w:type="dxa" w:w="110"/>
            </w:tcMar>
          </w:tcPr>
          <w:p>
            <w:pPr>
              <w:spacing w:after="0" w:line="240"/>
              <w:jc w:val="center"/>
            </w:pPr>
            <w:r>
              <w:rPr>
                <w:rFonts w:ascii="Consolas" w:cs="Consolas" w:eastAsia="Consolas" w:hAnsi="Consolas"/>
                <w:sz w:val="19"/>
                <w:szCs w:val="19"/>
              </w:rPr>
              <w:t xml:space="preserve">21.26</w:t>
            </w:r>
          </w:p>
        </w:tc>
        <w:tc>
          <w:tcPr>
            <w:tcW w:type="dxa" w:w="1200"/>
            <w:shd w:fill="F2F2F2" w:color="auto" w:val="clear"/>
            <w:tcMar>
              <w:top w:type="dxa" w:w="70"/>
              <w:left w:type="dxa" w:w="110"/>
              <w:bottom w:type="dxa" w:w="70"/>
              <w:right w:type="dxa" w:w="110"/>
            </w:tcMar>
          </w:tcPr>
          <w:p>
            <w:pPr>
              <w:spacing w:after="0" w:line="240"/>
              <w:jc w:val="center"/>
            </w:pPr>
            <w:r>
              <w:rPr>
                <w:rFonts w:ascii="Consolas" w:cs="Consolas" w:eastAsia="Consolas" w:hAnsi="Consolas"/>
                <w:color w:val="9C2A2A"/>
                <w:sz w:val="19"/>
                <w:szCs w:val="19"/>
              </w:rPr>
              <w:t xml:space="preserve">−4.93</w:t>
            </w:r>
          </w:p>
        </w:tc>
        <w:tc>
          <w:tcPr>
            <w:tcW w:type="dxa" w:w="1760"/>
            <w:shd w:fill="F2F2F2" w:color="auto" w:val="clear"/>
            <w:tcMar>
              <w:top w:type="dxa" w:w="70"/>
              <w:left w:type="dxa" w:w="110"/>
              <w:bottom w:type="dxa" w:w="70"/>
              <w:right w:type="dxa" w:w="110"/>
            </w:tcMar>
          </w:tcPr>
          <w:p>
            <w:pPr>
              <w:spacing w:after="0" w:line="240"/>
              <w:jc w:val="center"/>
            </w:pPr>
            <w:r>
              <w:rPr>
                <w:rFonts w:ascii="Consolas" w:cs="Consolas" w:eastAsia="Consolas" w:hAnsi="Consolas"/>
                <w:sz w:val="19"/>
                <w:szCs w:val="19"/>
              </w:rPr>
              <w:t xml:space="preserve">[−6.59, −3.30] *</w:t>
            </w:r>
          </w:p>
        </w:tc>
        <w:tc>
          <w:tcPr>
            <w:tcW w:type="dxa" w:w="2760"/>
            <w:shd w:fill="F2F2F2" w:color="auto" w:val="clear"/>
            <w:tcMar>
              <w:top w:type="dxa" w:w="70"/>
              <w:left w:type="dxa" w:w="110"/>
              <w:bottom w:type="dxa" w:w="70"/>
              <w:right w:type="dxa" w:w="110"/>
            </w:tcMar>
          </w:tcPr>
          <w:p>
            <w:pPr>
              <w:spacing w:after="0" w:line="240"/>
              <w:jc w:val="center"/>
            </w:pPr>
            <w:r>
              <w:rPr>
                <w:rFonts w:ascii="Consolas" w:cs="Consolas" w:eastAsia="Consolas" w:hAnsi="Consolas"/>
                <w:sz w:val="19"/>
                <w:szCs w:val="19"/>
              </w:rPr>
              <w:t xml:space="preserve">optimum = filter off</w:t>
            </w:r>
          </w:p>
        </w:tc>
      </w:tr>
      <w:tr>
        <w:tc>
          <w:tcPr>
            <w:tcW w:type="dxa" w:w="2740"/>
            <w:tcMar>
              <w:top w:type="dxa" w:w="70"/>
              <w:left w:type="dxa" w:w="110"/>
              <w:bottom w:type="dxa" w:w="70"/>
              <w:right w:type="dxa" w:w="110"/>
            </w:tcMar>
          </w:tcPr>
          <w:p>
            <w:pPr>
              <w:spacing w:after="0" w:line="240"/>
            </w:pPr>
            <w:r>
              <w:rPr>
                <w:sz w:val="19"/>
                <w:szCs w:val="19"/>
              </w:rPr>
              <w:t xml:space="preserve">union / no filter</w:t>
            </w:r>
          </w:p>
        </w:tc>
        <w:tc>
          <w:tcPr>
            <w:tcW w:type="dxa" w:w="900"/>
            <w:tcMar>
              <w:top w:type="dxa" w:w="70"/>
              <w:left w:type="dxa" w:w="110"/>
              <w:bottom w:type="dxa" w:w="70"/>
              <w:right w:type="dxa" w:w="110"/>
            </w:tcMar>
          </w:tcPr>
          <w:p>
            <w:pPr>
              <w:spacing w:after="0" w:line="240"/>
              <w:jc w:val="center"/>
            </w:pPr>
            <w:r>
              <w:rPr>
                <w:rFonts w:ascii="Consolas" w:cs="Consolas" w:eastAsia="Consolas" w:hAnsi="Consolas"/>
                <w:sz w:val="19"/>
                <w:szCs w:val="19"/>
              </w:rPr>
              <w:t xml:space="preserve">21.26</w:t>
            </w:r>
          </w:p>
        </w:tc>
        <w:tc>
          <w:tcPr>
            <w:tcW w:type="dxa" w:w="1200"/>
            <w:tcMar>
              <w:top w:type="dxa" w:w="70"/>
              <w:left w:type="dxa" w:w="110"/>
              <w:bottom w:type="dxa" w:w="70"/>
              <w:right w:type="dxa" w:w="110"/>
            </w:tcMar>
          </w:tcPr>
          <w:p>
            <w:pPr>
              <w:spacing w:after="0" w:line="240"/>
              <w:jc w:val="center"/>
            </w:pPr>
            <w:r>
              <w:rPr>
                <w:rFonts w:ascii="Consolas" w:cs="Consolas" w:eastAsia="Consolas" w:hAnsi="Consolas"/>
                <w:color w:val="9C2A2A"/>
                <w:sz w:val="19"/>
                <w:szCs w:val="19"/>
              </w:rPr>
              <w:t xml:space="preserve">−4.93</w:t>
            </w:r>
          </w:p>
        </w:tc>
        <w:tc>
          <w:tcPr>
            <w:tcW w:type="dxa" w:w="1760"/>
            <w:tcMar>
              <w:top w:type="dxa" w:w="70"/>
              <w:left w:type="dxa" w:w="110"/>
              <w:bottom w:type="dxa" w:w="70"/>
              <w:right w:type="dxa" w:w="110"/>
            </w:tcMar>
          </w:tcPr>
          <w:p>
            <w:pPr>
              <w:spacing w:after="0" w:line="240"/>
              <w:jc w:val="center"/>
            </w:pPr>
            <w:r>
              <w:rPr>
                <w:rFonts w:ascii="Consolas" w:cs="Consolas" w:eastAsia="Consolas" w:hAnsi="Consolas"/>
                <w:sz w:val="19"/>
                <w:szCs w:val="19"/>
              </w:rPr>
              <w:t xml:space="preserve">[−6.59, −3.30] *</w:t>
            </w:r>
          </w:p>
        </w:tc>
        <w:tc>
          <w:tcPr>
            <w:tcW w:type="dxa" w:w="2760"/>
            <w:tcMar>
              <w:top w:type="dxa" w:w="70"/>
              <w:left w:type="dxa" w:w="110"/>
              <w:bottom w:type="dxa" w:w="70"/>
              <w:right w:type="dxa" w:w="110"/>
            </w:tcMar>
          </w:tcPr>
          <w:p>
            <w:pPr>
              <w:spacing w:after="0" w:line="240"/>
              <w:jc w:val="center"/>
            </w:pPr>
            <w:r>
              <w:rPr>
                <w:rFonts w:ascii="Consolas" w:cs="Consolas" w:eastAsia="Consolas" w:hAnsi="Consolas"/>
                <w:sz w:val="19"/>
                <w:szCs w:val="19"/>
              </w:rPr>
              <w:t xml:space="preserve">θ = 1</w:t>
            </w:r>
          </w:p>
        </w:tc>
      </w:tr>
      <w:tr>
        <w:tc>
          <w:tcPr>
            <w:tcW w:type="dxa" w:w="2740"/>
            <w:shd w:fill="F2F2F2" w:color="auto" w:val="clear"/>
            <w:tcMar>
              <w:top w:type="dxa" w:w="70"/>
              <w:left w:type="dxa" w:w="110"/>
              <w:bottom w:type="dxa" w:w="70"/>
              <w:right w:type="dxa" w:w="110"/>
            </w:tcMar>
          </w:tcPr>
          <w:p>
            <w:pPr>
              <w:spacing w:after="0" w:line="240"/>
            </w:pPr>
            <w:r>
              <w:rPr>
                <w:sz w:val="19"/>
                <w:szCs w:val="19"/>
              </w:rPr>
              <w:t xml:space="preserve">MV — strict majority</w:t>
            </w:r>
          </w:p>
        </w:tc>
        <w:tc>
          <w:tcPr>
            <w:tcW w:type="dxa" w:w="900"/>
            <w:shd w:fill="F2F2F2" w:color="auto" w:val="clear"/>
            <w:tcMar>
              <w:top w:type="dxa" w:w="70"/>
              <w:left w:type="dxa" w:w="110"/>
              <w:bottom w:type="dxa" w:w="70"/>
              <w:right w:type="dxa" w:w="110"/>
            </w:tcMar>
          </w:tcPr>
          <w:p>
            <w:pPr>
              <w:spacing w:after="0" w:line="240"/>
              <w:jc w:val="center"/>
            </w:pPr>
            <w:r>
              <w:rPr>
                <w:rFonts w:ascii="Consolas" w:cs="Consolas" w:eastAsia="Consolas" w:hAnsi="Consolas"/>
                <w:sz w:val="19"/>
                <w:szCs w:val="19"/>
              </w:rPr>
              <w:t xml:space="preserve">22.80</w:t>
            </w:r>
          </w:p>
        </w:tc>
        <w:tc>
          <w:tcPr>
            <w:tcW w:type="dxa" w:w="1200"/>
            <w:shd w:fill="F2F2F2" w:color="auto" w:val="clear"/>
            <w:tcMar>
              <w:top w:type="dxa" w:w="70"/>
              <w:left w:type="dxa" w:w="110"/>
              <w:bottom w:type="dxa" w:w="70"/>
              <w:right w:type="dxa" w:w="110"/>
            </w:tcMar>
          </w:tcPr>
          <w:p>
            <w:pPr>
              <w:spacing w:after="0" w:line="240"/>
              <w:jc w:val="center"/>
            </w:pPr>
            <w:r>
              <w:rPr>
                <w:rFonts w:ascii="Consolas" w:cs="Consolas" w:eastAsia="Consolas" w:hAnsi="Consolas"/>
                <w:color w:val="9C2A2A"/>
                <w:sz w:val="19"/>
                <w:szCs w:val="19"/>
              </w:rPr>
              <w:t xml:space="preserve">−3.38</w:t>
            </w:r>
          </w:p>
        </w:tc>
        <w:tc>
          <w:tcPr>
            <w:tcW w:type="dxa" w:w="1760"/>
            <w:shd w:fill="F2F2F2" w:color="auto" w:val="clear"/>
            <w:tcMar>
              <w:top w:type="dxa" w:w="70"/>
              <w:left w:type="dxa" w:w="110"/>
              <w:bottom w:type="dxa" w:w="70"/>
              <w:right w:type="dxa" w:w="110"/>
            </w:tcMar>
          </w:tcPr>
          <w:p>
            <w:pPr>
              <w:spacing w:after="0" w:line="240"/>
              <w:jc w:val="center"/>
            </w:pPr>
            <w:r>
              <w:rPr>
                <w:rFonts w:ascii="Consolas" w:cs="Consolas" w:eastAsia="Consolas" w:hAnsi="Consolas"/>
                <w:sz w:val="19"/>
                <w:szCs w:val="19"/>
              </w:rPr>
              <w:t xml:space="preserve">[−4.84, −1.96] *</w:t>
            </w:r>
          </w:p>
        </w:tc>
        <w:tc>
          <w:tcPr>
            <w:tcW w:type="dxa" w:w="2760"/>
            <w:shd w:fill="F2F2F2" w:color="auto" w:val="clear"/>
            <w:tcMar>
              <w:top w:type="dxa" w:w="70"/>
              <w:left w:type="dxa" w:w="110"/>
              <w:bottom w:type="dxa" w:w="70"/>
              <w:right w:type="dxa" w:w="110"/>
            </w:tcMar>
          </w:tcPr>
          <w:p>
            <w:pPr>
              <w:spacing w:after="0" w:line="240"/>
              <w:jc w:val="center"/>
            </w:pPr>
            <w:r>
              <w:rPr>
                <w:rFonts w:ascii="Consolas" w:cs="Consolas" w:eastAsia="Consolas" w:hAnsi="Consolas"/>
                <w:sz w:val="19"/>
                <w:szCs w:val="19"/>
              </w:rPr>
              <w:t xml:space="preserve">θ = 3</w:t>
            </w:r>
          </w:p>
        </w:tc>
      </w:tr>
      <w:tr>
        <w:tc>
          <w:tcPr>
            <w:tcW w:type="dxa" w:w="2740"/>
            <w:tcMar>
              <w:top w:type="dxa" w:w="70"/>
              <w:left w:type="dxa" w:w="110"/>
              <w:bottom w:type="dxa" w:w="70"/>
              <w:right w:type="dxa" w:w="110"/>
            </w:tcMar>
          </w:tcPr>
          <w:p>
            <w:pPr>
              <w:spacing w:after="0" w:line="240"/>
            </w:pPr>
            <w:r>
              <w:rPr>
                <w:sz w:val="19"/>
                <w:szCs w:val="19"/>
              </w:rPr>
              <w:t xml:space="preserve">ASC — count filter</w:t>
            </w:r>
          </w:p>
        </w:tc>
        <w:tc>
          <w:tcPr>
            <w:tcW w:type="dxa" w:w="900"/>
            <w:tcMar>
              <w:top w:type="dxa" w:w="70"/>
              <w:left w:type="dxa" w:w="110"/>
              <w:bottom w:type="dxa" w:w="70"/>
              <w:right w:type="dxa" w:w="110"/>
            </w:tcMar>
          </w:tcPr>
          <w:p>
            <w:pPr>
              <w:spacing w:after="0" w:line="240"/>
              <w:jc w:val="center"/>
            </w:pPr>
            <w:r>
              <w:rPr>
                <w:rFonts w:ascii="Consolas" w:cs="Consolas" w:eastAsia="Consolas" w:hAnsi="Consolas"/>
                <w:sz w:val="19"/>
                <w:szCs w:val="19"/>
              </w:rPr>
              <w:t xml:space="preserve">28.10</w:t>
            </w:r>
          </w:p>
        </w:tc>
        <w:tc>
          <w:tcPr>
            <w:tcW w:type="dxa" w:w="1200"/>
            <w:tcMar>
              <w:top w:type="dxa" w:w="70"/>
              <w:left w:type="dxa" w:w="110"/>
              <w:bottom w:type="dxa" w:w="70"/>
              <w:right w:type="dxa" w:w="110"/>
            </w:tcMar>
          </w:tcPr>
          <w:p>
            <w:pPr>
              <w:spacing w:after="0" w:line="240"/>
              <w:jc w:val="center"/>
            </w:pPr>
            <w:r>
              <w:rPr>
                <w:rFonts w:ascii="Consolas" w:cs="Consolas" w:eastAsia="Consolas" w:hAnsi="Consolas"/>
                <w:color w:val="1E6B3A"/>
                <w:sz w:val="19"/>
                <w:szCs w:val="19"/>
              </w:rPr>
              <w:t xml:space="preserve">+1.92</w:t>
            </w:r>
          </w:p>
        </w:tc>
        <w:tc>
          <w:tcPr>
            <w:tcW w:type="dxa" w:w="1760"/>
            <w:tcMar>
              <w:top w:type="dxa" w:w="70"/>
              <w:left w:type="dxa" w:w="110"/>
              <w:bottom w:type="dxa" w:w="70"/>
              <w:right w:type="dxa" w:w="110"/>
            </w:tcMar>
          </w:tcPr>
          <w:p>
            <w:pPr>
              <w:spacing w:after="0" w:line="240"/>
              <w:jc w:val="center"/>
            </w:pPr>
            <w:r>
              <w:rPr>
                <w:rFonts w:ascii="Consolas" w:cs="Consolas" w:eastAsia="Consolas" w:hAnsi="Consolas"/>
                <w:sz w:val="19"/>
                <w:szCs w:val="19"/>
              </w:rPr>
              <w:t xml:space="preserve">[+0.69, +3.20] *</w:t>
            </w:r>
          </w:p>
        </w:tc>
        <w:tc>
          <w:tcPr>
            <w:tcW w:type="dxa" w:w="2760"/>
            <w:tcMar>
              <w:top w:type="dxa" w:w="70"/>
              <w:left w:type="dxa" w:w="110"/>
              <w:bottom w:type="dxa" w:w="70"/>
              <w:right w:type="dxa" w:w="110"/>
            </w:tcMar>
          </w:tcPr>
          <w:p>
            <w:pPr>
              <w:spacing w:after="0" w:line="240"/>
              <w:jc w:val="center"/>
            </w:pPr>
            <w:r>
              <w:rPr>
                <w:rFonts w:ascii="Consolas" w:cs="Consolas" w:eastAsia="Consolas" w:hAnsi="Consolas"/>
                <w:sz w:val="19"/>
                <w:szCs w:val="19"/>
              </w:rPr>
              <w:t xml:space="preserve">θ = 2, tuned</w:t>
            </w:r>
          </w:p>
        </w:tc>
      </w:tr>
      <w:tr>
        <w:tc>
          <w:tcPr>
            <w:tcW w:type="dxa" w:w="2740"/>
            <w:shd w:fill="F2F2F2" w:color="auto" w:val="clear"/>
            <w:tcMar>
              <w:top w:type="dxa" w:w="70"/>
              <w:left w:type="dxa" w:w="110"/>
              <w:bottom w:type="dxa" w:w="70"/>
              <w:right w:type="dxa" w:w="110"/>
            </w:tcMar>
          </w:tcPr>
          <w:p>
            <w:pPr>
              <w:spacing w:after="0" w:line="240"/>
            </w:pPr>
            <w:r>
              <w:rPr>
                <w:b/>
                <w:bCs/>
                <w:sz w:val="19"/>
                <w:szCs w:val="19"/>
              </w:rPr>
              <w:t xml:space="preserve">ASC + OW (ours)</w:t>
            </w:r>
          </w:p>
        </w:tc>
        <w:tc>
          <w:tcPr>
            <w:tcW w:type="dxa" w:w="900"/>
            <w:shd w:fill="F2F2F2" w:color="auto" w:val="clear"/>
            <w:tcMar>
              <w:top w:type="dxa" w:w="70"/>
              <w:left w:type="dxa" w:w="110"/>
              <w:bottom w:type="dxa" w:w="70"/>
              <w:right w:type="dxa" w:w="110"/>
            </w:tcMar>
          </w:tcPr>
          <w:p>
            <w:pPr>
              <w:spacing w:after="0" w:line="240"/>
              <w:jc w:val="center"/>
            </w:pPr>
            <w:r>
              <w:rPr>
                <w:rFonts w:ascii="Consolas" w:cs="Consolas" w:eastAsia="Consolas" w:hAnsi="Consolas"/>
                <w:b/>
                <w:bCs/>
                <w:sz w:val="19"/>
                <w:szCs w:val="19"/>
              </w:rPr>
              <w:t xml:space="preserve">28.19</w:t>
            </w:r>
          </w:p>
        </w:tc>
        <w:tc>
          <w:tcPr>
            <w:tcW w:type="dxa" w:w="1200"/>
            <w:shd w:fill="F2F2F2" w:color="auto" w:val="clear"/>
            <w:tcMar>
              <w:top w:type="dxa" w:w="70"/>
              <w:left w:type="dxa" w:w="110"/>
              <w:bottom w:type="dxa" w:w="70"/>
              <w:right w:type="dxa" w:w="110"/>
            </w:tcMar>
          </w:tcPr>
          <w:p>
            <w:pPr>
              <w:spacing w:after="0" w:line="240"/>
              <w:jc w:val="center"/>
            </w:pPr>
            <w:r>
              <w:rPr>
                <w:rFonts w:ascii="Consolas" w:cs="Consolas" w:eastAsia="Consolas" w:hAnsi="Consolas"/>
                <w:b/>
                <w:bCs/>
                <w:color w:val="1E6B3A"/>
                <w:sz w:val="19"/>
                <w:szCs w:val="19"/>
              </w:rPr>
              <w:t xml:space="preserve">+2.00</w:t>
            </w:r>
          </w:p>
        </w:tc>
        <w:tc>
          <w:tcPr>
            <w:tcW w:type="dxa" w:w="1760"/>
            <w:shd w:fill="F2F2F2" w:color="auto" w:val="clear"/>
            <w:tcMar>
              <w:top w:type="dxa" w:w="70"/>
              <w:left w:type="dxa" w:w="110"/>
              <w:bottom w:type="dxa" w:w="70"/>
              <w:right w:type="dxa" w:w="110"/>
            </w:tcMar>
          </w:tcPr>
          <w:p>
            <w:pPr>
              <w:spacing w:after="0" w:line="240"/>
              <w:jc w:val="center"/>
            </w:pPr>
            <w:r>
              <w:rPr>
                <w:rFonts w:ascii="Consolas" w:cs="Consolas" w:eastAsia="Consolas" w:hAnsi="Consolas"/>
                <w:sz w:val="19"/>
                <w:szCs w:val="19"/>
              </w:rPr>
              <w:t xml:space="preserve">[+1.11, +2.96] *</w:t>
            </w:r>
          </w:p>
        </w:tc>
        <w:tc>
          <w:tcPr>
            <w:tcW w:type="dxa" w:w="2760"/>
            <w:shd w:fill="F2F2F2" w:color="auto" w:val="clear"/>
            <w:tcMar>
              <w:top w:type="dxa" w:w="70"/>
              <w:left w:type="dxa" w:w="110"/>
              <w:bottom w:type="dxa" w:w="70"/>
              <w:right w:type="dxa" w:w="110"/>
            </w:tcMar>
          </w:tcPr>
          <w:p>
            <w:pPr>
              <w:spacing w:after="0" w:line="240"/>
              <w:jc w:val="center"/>
            </w:pPr>
            <w:r>
              <w:rPr>
                <w:rFonts w:ascii="Consolas" w:cs="Consolas" w:eastAsia="Consolas" w:hAnsi="Consolas"/>
                <w:sz w:val="19"/>
                <w:szCs w:val="19"/>
              </w:rPr>
              <w:t xml:space="preserve">θ = 0.285</w:t>
            </w:r>
          </w:p>
        </w:tc>
      </w:tr>
      <w:tr>
        <w:tc>
          <w:tcPr>
            <w:tcW w:type="dxa" w:w="2740"/>
            <w:tcMar>
              <w:top w:type="dxa" w:w="70"/>
              <w:left w:type="dxa" w:w="110"/>
              <w:bottom w:type="dxa" w:w="70"/>
              <w:right w:type="dxa" w:w="110"/>
            </w:tcMar>
          </w:tcPr>
          <w:p>
            <w:pPr>
              <w:spacing w:after="0" w:line="240"/>
            </w:pPr>
            <w:r>
              <w:rPr>
                <w:sz w:val="19"/>
                <w:szCs w:val="19"/>
              </w:rPr>
              <w:t xml:space="preserve">oracle selection</w:t>
            </w:r>
          </w:p>
        </w:tc>
        <w:tc>
          <w:tcPr>
            <w:tcW w:type="dxa" w:w="900"/>
            <w:tcMar>
              <w:top w:type="dxa" w:w="70"/>
              <w:left w:type="dxa" w:w="110"/>
              <w:bottom w:type="dxa" w:w="70"/>
              <w:right w:type="dxa" w:w="110"/>
            </w:tcMar>
          </w:tcPr>
          <w:p>
            <w:pPr>
              <w:spacing w:after="0" w:line="240"/>
              <w:jc w:val="center"/>
            </w:pPr>
            <w:r>
              <w:rPr>
                <w:rFonts w:ascii="Consolas" w:cs="Consolas" w:eastAsia="Consolas" w:hAnsi="Consolas"/>
                <w:sz w:val="19"/>
                <w:szCs w:val="19"/>
              </w:rPr>
              <w:t xml:space="preserve">35.51</w:t>
            </w:r>
          </w:p>
        </w:tc>
        <w:tc>
          <w:tcPr>
            <w:tcW w:type="dxa" w:w="1200"/>
            <w:tcMar>
              <w:top w:type="dxa" w:w="70"/>
              <w:left w:type="dxa" w:w="110"/>
              <w:bottom w:type="dxa" w:w="70"/>
              <w:right w:type="dxa" w:w="110"/>
            </w:tcMar>
          </w:tcPr>
          <w:p>
            <w:pPr>
              <w:spacing w:after="0" w:line="240"/>
              <w:jc w:val="center"/>
            </w:pPr>
            <w:r>
              <w:rPr>
                <w:rFonts w:ascii="Consolas" w:cs="Consolas" w:eastAsia="Consolas" w:hAnsi="Consolas"/>
                <w:sz w:val="19"/>
                <w:szCs w:val="19"/>
              </w:rPr>
              <w:t xml:space="preserve">+9.33</w:t>
            </w:r>
          </w:p>
        </w:tc>
        <w:tc>
          <w:tcPr>
            <w:tcW w:type="dxa" w:w="1760"/>
            <w:tcMar>
              <w:top w:type="dxa" w:w="70"/>
              <w:left w:type="dxa" w:w="110"/>
              <w:bottom w:type="dxa" w:w="70"/>
              <w:right w:type="dxa" w:w="110"/>
            </w:tcMar>
          </w:tcPr>
          <w:p>
            <w:pPr>
              <w:spacing w:after="0" w:line="240"/>
              <w:jc w:val="center"/>
            </w:pPr>
            <w:r>
              <w:rPr>
                <w:rFonts w:ascii="Consolas" w:cs="Consolas" w:eastAsia="Consolas" w:hAnsi="Consolas"/>
                <w:sz w:val="19"/>
                <w:szCs w:val="19"/>
              </w:rPr>
              <w:t xml:space="preserve">[+7.89, +10.83] *</w:t>
            </w:r>
          </w:p>
        </w:tc>
        <w:tc>
          <w:tcPr>
            <w:tcW w:type="dxa" w:w="2760"/>
            <w:tcMar>
              <w:top w:type="dxa" w:w="70"/>
              <w:left w:type="dxa" w:w="110"/>
              <w:bottom w:type="dxa" w:w="70"/>
              <w:right w:type="dxa" w:w="110"/>
            </w:tcMar>
          </w:tcPr>
          <w:p>
            <w:pPr>
              <w:spacing w:after="0" w:line="240"/>
              <w:jc w:val="center"/>
            </w:pPr>
            <w:r>
              <w:rPr>
                <w:rFonts w:ascii="Consolas" w:cs="Consolas" w:eastAsia="Consolas" w:hAnsi="Consolas"/>
                <w:sz w:val="19"/>
                <w:szCs w:val="19"/>
              </w:rPr>
              <w:t xml:space="preserve">needs labels; selection ceiling</w:t>
            </w:r>
          </w:p>
        </w:tc>
      </w:tr>
    </w:tbl>
    <w:p>
      <w:pPr>
        <w:spacing w:after="60" w:before="0" w:line="276"/>
      </w:pPr>
      <w:r>
        <w:rPr>
          <w:i/>
          <w:iCs/>
          <w:sz w:val="18"/>
          <w:szCs w:val="18"/>
        </w:rPr>
        <w:t xml:space="preserve">* = 95% CI excludes zero.</w:t>
      </w:r>
    </w:p>
    <w:p>
      <w:pPr>
        <w:spacing w:after="60" w:line="276"/>
      </w:pPr>
      <w:r>
        <w:rPr>
          <w:sz w:val="21"/>
          <w:szCs w:val="21"/>
        </w:rPr>
        <w:t xml:space="preserve">Head-to-head: </w:t>
      </w:r>
      <w:r>
        <w:rPr>
          <w:rFonts w:ascii="Consolas" w:cs="Consolas" w:eastAsia="Consolas" w:hAnsi="Consolas"/>
          <w:b/>
          <w:bCs/>
          <w:sz w:val="21"/>
          <w:szCs w:val="21"/>
        </w:rPr>
        <w:t xml:space="preserve">ASC+OW − ASC = +0.08 [−0.55, +0.76]</w:t>
      </w:r>
      <w:r>
        <w:rPr>
          <w:rFonts w:ascii="Consolas" w:cs="Consolas" w:eastAsia="Consolas" w:hAnsi="Consolas"/>
          <w:sz w:val="21"/>
          <w:szCs w:val="21"/>
        </w:rPr>
        <w:t xml:space="preserve">   ·   ASC+OW − MV = +5.38 * ·   ASC − MV = +5.30 *</w:t>
      </w:r>
    </w:p>
    <w:p>
      <w:pPr>
        <w:pStyle w:val="Heading1"/>
        <w:spacing w:after="140" w:before="280"/>
      </w:pPr>
      <w:r>
        <w:rPr>
          <w:b/>
          <w:bCs/>
          <w:color w:val="1F3864"/>
          <w:sz w:val="30"/>
          <w:szCs w:val="30"/>
        </w:rPr>
        <w:t xml:space="preserve">2. How the result moved as n grew</w:t>
      </w:r>
    </w:p>
    <w:p>
      <w:pPr>
        <w:spacing w:after="120" w:before="0" w:line="276"/>
      </w:pPr>
      <w:r>
        <w:rPr>
          <w:sz w:val="20"/>
          <w:szCs w:val="20"/>
        </w:rPr>
        <w:t xml:space="preserve">Generation is still running toward n=931. Snapshots taken along the way. This is the single most informative table in the report: the headline is stable across a 2.7× growth in sample, while the weighting effect decays to zero and the unweighted count filter crosses into significance.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1500"/>
        <w:gridCol w:w="1240"/>
        <w:gridCol w:w="1500"/>
        <w:gridCol w:w="2180"/>
        <w:gridCol w:w="2180"/>
      </w:tblGrid>
      <w:tr>
        <w:trPr>
          <w:tblHeader/>
        </w:trPr>
        <w:tc>
          <w:tcPr>
            <w:tcW w:type="dxa" w:w="760"/>
            <w:shd w:fill="1F3864" w:color="auto" w:val="clear"/>
            <w:tcMar>
              <w:top w:type="dxa" w:w="70"/>
              <w:left w:type="dxa" w:w="110"/>
              <w:bottom w:type="dxa" w:w="70"/>
              <w:right w:type="dxa" w:w="110"/>
            </w:tcMar>
          </w:tcPr>
          <w:p>
            <w:pPr>
              <w:spacing w:after="0" w:line="240"/>
            </w:pPr>
            <w:r>
              <w:rPr>
                <w:b/>
                <w:bCs/>
                <w:color w:val="FFFFFF"/>
                <w:sz w:val="19"/>
                <w:szCs w:val="19"/>
              </w:rPr>
              <w:t xml:space="preserve">n</w:t>
            </w:r>
          </w:p>
        </w:tc>
        <w:tc>
          <w:tcPr>
            <w:tcW w:type="dxa" w:w="1500"/>
            <w:shd w:fill="1F3864" w:color="auto" w:val="clear"/>
            <w:tcMar>
              <w:top w:type="dxa" w:w="70"/>
              <w:left w:type="dxa" w:w="110"/>
              <w:bottom w:type="dxa" w:w="70"/>
              <w:right w:type="dxa" w:w="110"/>
            </w:tcMar>
          </w:tcPr>
          <w:p>
            <w:pPr>
              <w:spacing w:after="0" w:line="240"/>
              <w:jc w:val="center"/>
            </w:pPr>
            <w:r>
              <w:rPr>
                <w:b/>
                <w:bCs/>
                <w:color w:val="FFFFFF"/>
                <w:sz w:val="19"/>
                <w:szCs w:val="19"/>
              </w:rPr>
              <w:t xml:space="preserve">best single</w:t>
            </w:r>
          </w:p>
        </w:tc>
        <w:tc>
          <w:tcPr>
            <w:tcW w:type="dxa" w:w="1240"/>
            <w:shd w:fill="1F3864" w:color="auto" w:val="clear"/>
            <w:tcMar>
              <w:top w:type="dxa" w:w="70"/>
              <w:left w:type="dxa" w:w="110"/>
              <w:bottom w:type="dxa" w:w="70"/>
              <w:right w:type="dxa" w:w="110"/>
            </w:tcMar>
          </w:tcPr>
          <w:p>
            <w:pPr>
              <w:spacing w:after="0" w:line="240"/>
              <w:jc w:val="center"/>
            </w:pPr>
            <w:r>
              <w:rPr>
                <w:b/>
                <w:bCs/>
                <w:color w:val="FFFFFF"/>
                <w:sz w:val="19"/>
                <w:szCs w:val="19"/>
              </w:rPr>
              <w:t xml:space="preserve">ASC</w:t>
            </w:r>
          </w:p>
        </w:tc>
        <w:tc>
          <w:tcPr>
            <w:tcW w:type="dxa" w:w="1500"/>
            <w:shd w:fill="1F3864" w:color="auto" w:val="clear"/>
            <w:tcMar>
              <w:top w:type="dxa" w:w="70"/>
              <w:left w:type="dxa" w:w="110"/>
              <w:bottom w:type="dxa" w:w="70"/>
              <w:right w:type="dxa" w:w="110"/>
            </w:tcMar>
          </w:tcPr>
          <w:p>
            <w:pPr>
              <w:spacing w:after="0" w:line="240"/>
              <w:jc w:val="center"/>
            </w:pPr>
            <w:r>
              <w:rPr>
                <w:b/>
                <w:bCs/>
                <w:color w:val="FFFFFF"/>
                <w:sz w:val="19"/>
                <w:szCs w:val="19"/>
              </w:rPr>
              <w:t xml:space="preserve">ASC+OW</w:t>
            </w:r>
          </w:p>
        </w:tc>
        <w:tc>
          <w:tcPr>
            <w:tcW w:type="dxa" w:w="2180"/>
            <w:shd w:fill="1F3864" w:color="auto" w:val="clear"/>
            <w:tcMar>
              <w:top w:type="dxa" w:w="70"/>
              <w:left w:type="dxa" w:w="110"/>
              <w:bottom w:type="dxa" w:w="70"/>
              <w:right w:type="dxa" w:w="110"/>
            </w:tcMar>
          </w:tcPr>
          <w:p>
            <w:pPr>
              <w:spacing w:after="0" w:line="240"/>
              <w:jc w:val="center"/>
            </w:pPr>
            <w:r>
              <w:rPr>
                <w:b/>
                <w:bCs/>
                <w:color w:val="FFFFFF"/>
                <w:sz w:val="19"/>
                <w:szCs w:val="19"/>
              </w:rPr>
              <w:t xml:space="preserve">ASC+OW − best</w:t>
            </w:r>
          </w:p>
        </w:tc>
        <w:tc>
          <w:tcPr>
            <w:tcW w:type="dxa" w:w="2180"/>
            <w:shd w:fill="1F3864" w:color="auto" w:val="clear"/>
            <w:tcMar>
              <w:top w:type="dxa" w:w="70"/>
              <w:left w:type="dxa" w:w="110"/>
              <w:bottom w:type="dxa" w:w="70"/>
              <w:right w:type="dxa" w:w="110"/>
            </w:tcMar>
          </w:tcPr>
          <w:p>
            <w:pPr>
              <w:spacing w:after="0" w:line="240"/>
              <w:jc w:val="center"/>
            </w:pPr>
            <w:r>
              <w:rPr>
                <w:b/>
                <w:bCs/>
                <w:color w:val="FFFFFF"/>
                <w:sz w:val="19"/>
                <w:szCs w:val="19"/>
              </w:rPr>
              <w:t xml:space="preserve">ASC+OW − ASC</w:t>
            </w:r>
          </w:p>
        </w:tc>
      </w:tr>
      <w:tr>
        <w:tc>
          <w:tcPr>
            <w:tcW w:type="dxa" w:w="760"/>
            <w:tcMar>
              <w:top w:type="dxa" w:w="70"/>
              <w:left w:type="dxa" w:w="110"/>
              <w:bottom w:type="dxa" w:w="70"/>
              <w:right w:type="dxa" w:w="110"/>
            </w:tcMar>
          </w:tcPr>
          <w:p>
            <w:pPr>
              <w:spacing w:after="0" w:line="240"/>
            </w:pPr>
            <w:r>
              <w:rPr>
                <w:sz w:val="19"/>
                <w:szCs w:val="19"/>
              </w:rPr>
              <w:t xml:space="preserve">198</w:t>
            </w:r>
          </w:p>
        </w:tc>
        <w:tc>
          <w:tcPr>
            <w:tcW w:type="dxa" w:w="1500"/>
            <w:tcMar>
              <w:top w:type="dxa" w:w="70"/>
              <w:left w:type="dxa" w:w="110"/>
              <w:bottom w:type="dxa" w:w="70"/>
              <w:right w:type="dxa" w:w="110"/>
            </w:tcMar>
          </w:tcPr>
          <w:p>
            <w:pPr>
              <w:spacing w:after="0" w:line="240"/>
              <w:jc w:val="center"/>
            </w:pPr>
            <w:r>
              <w:rPr>
                <w:rFonts w:ascii="Consolas" w:cs="Consolas" w:eastAsia="Consolas" w:hAnsi="Consolas"/>
                <w:sz w:val="19"/>
                <w:szCs w:val="19"/>
              </w:rPr>
              <w:t xml:space="preserve">28.60</w:t>
            </w:r>
          </w:p>
        </w:tc>
        <w:tc>
          <w:tcPr>
            <w:tcW w:type="dxa" w:w="1240"/>
            <w:tcMar>
              <w:top w:type="dxa" w:w="70"/>
              <w:left w:type="dxa" w:w="110"/>
              <w:bottom w:type="dxa" w:w="70"/>
              <w:right w:type="dxa" w:w="110"/>
            </w:tcMar>
          </w:tcPr>
          <w:p>
            <w:pPr>
              <w:spacing w:after="0" w:line="240"/>
              <w:jc w:val="center"/>
            </w:pPr>
            <w:r>
              <w:rPr>
                <w:rFonts w:ascii="Consolas" w:cs="Consolas" w:eastAsia="Consolas" w:hAnsi="Consolas"/>
                <w:sz w:val="19"/>
                <w:szCs w:val="19"/>
              </w:rPr>
              <w:t xml:space="preserve">29.54</w:t>
            </w:r>
          </w:p>
        </w:tc>
        <w:tc>
          <w:tcPr>
            <w:tcW w:type="dxa" w:w="1500"/>
            <w:tcMar>
              <w:top w:type="dxa" w:w="70"/>
              <w:left w:type="dxa" w:w="110"/>
              <w:bottom w:type="dxa" w:w="70"/>
              <w:right w:type="dxa" w:w="110"/>
            </w:tcMar>
          </w:tcPr>
          <w:p>
            <w:pPr>
              <w:spacing w:after="0" w:line="240"/>
              <w:jc w:val="center"/>
            </w:pPr>
            <w:r>
              <w:rPr>
                <w:rFonts w:ascii="Consolas" w:cs="Consolas" w:eastAsia="Consolas" w:hAnsi="Consolas"/>
                <w:sz w:val="19"/>
                <w:szCs w:val="19"/>
              </w:rPr>
              <w:t xml:space="preserve">30.66</w:t>
            </w:r>
          </w:p>
        </w:tc>
        <w:tc>
          <w:tcPr>
            <w:tcW w:type="dxa" w:w="2180"/>
            <w:tcMar>
              <w:top w:type="dxa" w:w="70"/>
              <w:left w:type="dxa" w:w="110"/>
              <w:bottom w:type="dxa" w:w="70"/>
              <w:right w:type="dxa" w:w="110"/>
            </w:tcMar>
          </w:tcPr>
          <w:p>
            <w:pPr>
              <w:spacing w:after="0" w:line="240"/>
              <w:jc w:val="center"/>
            </w:pPr>
            <w:r>
              <w:rPr>
                <w:rFonts w:ascii="Consolas" w:cs="Consolas" w:eastAsia="Consolas" w:hAnsi="Consolas"/>
                <w:color w:val="1E6B3A"/>
                <w:sz w:val="19"/>
                <w:szCs w:val="19"/>
              </w:rPr>
              <w:t xml:space="preserve">+2.06 *</w:t>
            </w:r>
          </w:p>
        </w:tc>
        <w:tc>
          <w:tcPr>
            <w:tcW w:type="dxa" w:w="2180"/>
            <w:tcMar>
              <w:top w:type="dxa" w:w="70"/>
              <w:left w:type="dxa" w:w="110"/>
              <w:bottom w:type="dxa" w:w="70"/>
              <w:right w:type="dxa" w:w="110"/>
            </w:tcMar>
          </w:tcPr>
          <w:p>
            <w:pPr>
              <w:spacing w:after="0" w:line="240"/>
              <w:jc w:val="center"/>
            </w:pPr>
            <w:r>
              <w:rPr>
                <w:rFonts w:ascii="Consolas" w:cs="Consolas" w:eastAsia="Consolas" w:hAnsi="Consolas"/>
                <w:sz w:val="19"/>
                <w:szCs w:val="19"/>
              </w:rPr>
              <w:t xml:space="preserve">+1.12 [−0.05, +2.46]</w:t>
            </w:r>
          </w:p>
        </w:tc>
      </w:tr>
      <w:tr>
        <w:tc>
          <w:tcPr>
            <w:tcW w:type="dxa" w:w="760"/>
            <w:shd w:fill="F2F2F2" w:color="auto" w:val="clear"/>
            <w:tcMar>
              <w:top w:type="dxa" w:w="70"/>
              <w:left w:type="dxa" w:w="110"/>
              <w:bottom w:type="dxa" w:w="70"/>
              <w:right w:type="dxa" w:w="110"/>
            </w:tcMar>
          </w:tcPr>
          <w:p>
            <w:pPr>
              <w:spacing w:after="0" w:line="240"/>
            </w:pPr>
            <w:r>
              <w:rPr>
                <w:sz w:val="19"/>
                <w:szCs w:val="19"/>
              </w:rPr>
              <w:t xml:space="preserve">247</w:t>
            </w:r>
          </w:p>
        </w:tc>
        <w:tc>
          <w:tcPr>
            <w:tcW w:type="dxa" w:w="1500"/>
            <w:shd w:fill="F2F2F2" w:color="auto" w:val="clear"/>
            <w:tcMar>
              <w:top w:type="dxa" w:w="70"/>
              <w:left w:type="dxa" w:w="110"/>
              <w:bottom w:type="dxa" w:w="70"/>
              <w:right w:type="dxa" w:w="110"/>
            </w:tcMar>
          </w:tcPr>
          <w:p>
            <w:pPr>
              <w:spacing w:after="0" w:line="240"/>
              <w:jc w:val="center"/>
            </w:pPr>
            <w:r>
              <w:rPr>
                <w:rFonts w:ascii="Consolas" w:cs="Consolas" w:eastAsia="Consolas" w:hAnsi="Consolas"/>
                <w:sz w:val="19"/>
                <w:szCs w:val="19"/>
              </w:rPr>
              <w:t xml:space="preserve">28.67</w:t>
            </w:r>
          </w:p>
        </w:tc>
        <w:tc>
          <w:tcPr>
            <w:tcW w:type="dxa" w:w="1240"/>
            <w:shd w:fill="F2F2F2" w:color="auto" w:val="clear"/>
            <w:tcMar>
              <w:top w:type="dxa" w:w="70"/>
              <w:left w:type="dxa" w:w="110"/>
              <w:bottom w:type="dxa" w:w="70"/>
              <w:right w:type="dxa" w:w="110"/>
            </w:tcMar>
          </w:tcPr>
          <w:p>
            <w:pPr>
              <w:spacing w:after="0" w:line="240"/>
              <w:jc w:val="center"/>
            </w:pPr>
            <w:r>
              <w:rPr>
                <w:rFonts w:ascii="Consolas" w:cs="Consolas" w:eastAsia="Consolas" w:hAnsi="Consolas"/>
                <w:sz w:val="19"/>
                <w:szCs w:val="19"/>
              </w:rPr>
              <w:t xml:space="preserve">30.10</w:t>
            </w:r>
          </w:p>
        </w:tc>
        <w:tc>
          <w:tcPr>
            <w:tcW w:type="dxa" w:w="1500"/>
            <w:shd w:fill="F2F2F2" w:color="auto" w:val="clear"/>
            <w:tcMar>
              <w:top w:type="dxa" w:w="70"/>
              <w:left w:type="dxa" w:w="110"/>
              <w:bottom w:type="dxa" w:w="70"/>
              <w:right w:type="dxa" w:w="110"/>
            </w:tcMar>
          </w:tcPr>
          <w:p>
            <w:pPr>
              <w:spacing w:after="0" w:line="240"/>
              <w:jc w:val="center"/>
            </w:pPr>
            <w:r>
              <w:rPr>
                <w:rFonts w:ascii="Consolas" w:cs="Consolas" w:eastAsia="Consolas" w:hAnsi="Consolas"/>
                <w:sz w:val="19"/>
                <w:szCs w:val="19"/>
              </w:rPr>
              <w:t xml:space="preserve">30.55</w:t>
            </w:r>
          </w:p>
        </w:tc>
        <w:tc>
          <w:tcPr>
            <w:tcW w:type="dxa" w:w="2180"/>
            <w:shd w:fill="F2F2F2" w:color="auto" w:val="clear"/>
            <w:tcMar>
              <w:top w:type="dxa" w:w="70"/>
              <w:left w:type="dxa" w:w="110"/>
              <w:bottom w:type="dxa" w:w="70"/>
              <w:right w:type="dxa" w:w="110"/>
            </w:tcMar>
          </w:tcPr>
          <w:p>
            <w:pPr>
              <w:spacing w:after="0" w:line="240"/>
              <w:jc w:val="center"/>
            </w:pPr>
            <w:r>
              <w:rPr>
                <w:rFonts w:ascii="Consolas" w:cs="Consolas" w:eastAsia="Consolas" w:hAnsi="Consolas"/>
                <w:color w:val="1E6B3A"/>
                <w:sz w:val="19"/>
                <w:szCs w:val="19"/>
              </w:rPr>
              <w:t xml:space="preserve">+1.88 *</w:t>
            </w:r>
          </w:p>
        </w:tc>
        <w:tc>
          <w:tcPr>
            <w:tcW w:type="dxa" w:w="2180"/>
            <w:shd w:fill="F2F2F2" w:color="auto" w:val="clear"/>
            <w:tcMar>
              <w:top w:type="dxa" w:w="70"/>
              <w:left w:type="dxa" w:w="110"/>
              <w:bottom w:type="dxa" w:w="70"/>
              <w:right w:type="dxa" w:w="110"/>
            </w:tcMar>
          </w:tcPr>
          <w:p>
            <w:pPr>
              <w:spacing w:after="0" w:line="240"/>
              <w:jc w:val="center"/>
            </w:pPr>
            <w:r>
              <w:rPr>
                <w:rFonts w:ascii="Consolas" w:cs="Consolas" w:eastAsia="Consolas" w:hAnsi="Consolas"/>
                <w:sz w:val="19"/>
                <w:szCs w:val="19"/>
              </w:rPr>
              <w:t xml:space="preserve">+0.45 [−0.56, +1.59]</w:t>
            </w:r>
          </w:p>
        </w:tc>
      </w:tr>
      <w:tr>
        <w:tc>
          <w:tcPr>
            <w:tcW w:type="dxa" w:w="760"/>
            <w:tcMar>
              <w:top w:type="dxa" w:w="70"/>
              <w:left w:type="dxa" w:w="110"/>
              <w:bottom w:type="dxa" w:w="70"/>
              <w:right w:type="dxa" w:w="110"/>
            </w:tcMar>
          </w:tcPr>
          <w:p>
            <w:pPr>
              <w:spacing w:after="0" w:line="240"/>
            </w:pPr>
            <w:r>
              <w:rPr>
                <w:sz w:val="19"/>
                <w:szCs w:val="19"/>
              </w:rPr>
              <w:t xml:space="preserve">275</w:t>
            </w:r>
          </w:p>
        </w:tc>
        <w:tc>
          <w:tcPr>
            <w:tcW w:type="dxa" w:w="1500"/>
            <w:tcMar>
              <w:top w:type="dxa" w:w="70"/>
              <w:left w:type="dxa" w:w="110"/>
              <w:bottom w:type="dxa" w:w="70"/>
              <w:right w:type="dxa" w:w="110"/>
            </w:tcMar>
          </w:tcPr>
          <w:p>
            <w:pPr>
              <w:spacing w:after="0" w:line="240"/>
              <w:jc w:val="center"/>
            </w:pPr>
            <w:r>
              <w:rPr>
                <w:rFonts w:ascii="Consolas" w:cs="Consolas" w:eastAsia="Consolas" w:hAnsi="Consolas"/>
                <w:sz w:val="19"/>
                <w:szCs w:val="19"/>
              </w:rPr>
              <w:t xml:space="preserve">27.74</w:t>
            </w:r>
          </w:p>
        </w:tc>
        <w:tc>
          <w:tcPr>
            <w:tcW w:type="dxa" w:w="1240"/>
            <w:tcMar>
              <w:top w:type="dxa" w:w="70"/>
              <w:left w:type="dxa" w:w="110"/>
              <w:bottom w:type="dxa" w:w="70"/>
              <w:right w:type="dxa" w:w="110"/>
            </w:tcMar>
          </w:tcPr>
          <w:p>
            <w:pPr>
              <w:spacing w:after="0" w:line="240"/>
              <w:jc w:val="center"/>
            </w:pPr>
            <w:r>
              <w:rPr>
                <w:rFonts w:ascii="Consolas" w:cs="Consolas" w:eastAsia="Consolas" w:hAnsi="Consolas"/>
                <w:sz w:val="19"/>
                <w:szCs w:val="19"/>
              </w:rPr>
              <w:t xml:space="preserve">29.31</w:t>
            </w:r>
          </w:p>
        </w:tc>
        <w:tc>
          <w:tcPr>
            <w:tcW w:type="dxa" w:w="1500"/>
            <w:tcMar>
              <w:top w:type="dxa" w:w="70"/>
              <w:left w:type="dxa" w:w="110"/>
              <w:bottom w:type="dxa" w:w="70"/>
              <w:right w:type="dxa" w:w="110"/>
            </w:tcMar>
          </w:tcPr>
          <w:p>
            <w:pPr>
              <w:spacing w:after="0" w:line="240"/>
              <w:jc w:val="center"/>
            </w:pPr>
            <w:r>
              <w:rPr>
                <w:rFonts w:ascii="Consolas" w:cs="Consolas" w:eastAsia="Consolas" w:hAnsi="Consolas"/>
                <w:sz w:val="19"/>
                <w:szCs w:val="19"/>
              </w:rPr>
              <w:t xml:space="preserve">29.68</w:t>
            </w:r>
          </w:p>
        </w:tc>
        <w:tc>
          <w:tcPr>
            <w:tcW w:type="dxa" w:w="2180"/>
            <w:tcMar>
              <w:top w:type="dxa" w:w="70"/>
              <w:left w:type="dxa" w:w="110"/>
              <w:bottom w:type="dxa" w:w="70"/>
              <w:right w:type="dxa" w:w="110"/>
            </w:tcMar>
          </w:tcPr>
          <w:p>
            <w:pPr>
              <w:spacing w:after="0" w:line="240"/>
              <w:jc w:val="center"/>
            </w:pPr>
            <w:r>
              <w:rPr>
                <w:rFonts w:ascii="Consolas" w:cs="Consolas" w:eastAsia="Consolas" w:hAnsi="Consolas"/>
                <w:color w:val="1E6B3A"/>
                <w:sz w:val="19"/>
                <w:szCs w:val="19"/>
              </w:rPr>
              <w:t xml:space="preserve">+1.94 *</w:t>
            </w:r>
          </w:p>
        </w:tc>
        <w:tc>
          <w:tcPr>
            <w:tcW w:type="dxa" w:w="2180"/>
            <w:tcMar>
              <w:top w:type="dxa" w:w="70"/>
              <w:left w:type="dxa" w:w="110"/>
              <w:bottom w:type="dxa" w:w="70"/>
              <w:right w:type="dxa" w:w="110"/>
            </w:tcMar>
          </w:tcPr>
          <w:p>
            <w:pPr>
              <w:spacing w:after="0" w:line="240"/>
              <w:jc w:val="center"/>
            </w:pPr>
            <w:r>
              <w:rPr>
                <w:rFonts w:ascii="Consolas" w:cs="Consolas" w:eastAsia="Consolas" w:hAnsi="Consolas"/>
                <w:sz w:val="19"/>
                <w:szCs w:val="19"/>
              </w:rPr>
              <w:t xml:space="preserve">+0.37 [−0.59, +1.44]</w:t>
            </w:r>
          </w:p>
        </w:tc>
      </w:tr>
      <w:tr>
        <w:tc>
          <w:tcPr>
            <w:tcW w:type="dxa" w:w="760"/>
            <w:shd w:fill="F2F2F2" w:color="auto" w:val="clear"/>
            <w:tcMar>
              <w:top w:type="dxa" w:w="70"/>
              <w:left w:type="dxa" w:w="110"/>
              <w:bottom w:type="dxa" w:w="70"/>
              <w:right w:type="dxa" w:w="110"/>
            </w:tcMar>
          </w:tcPr>
          <w:p>
            <w:pPr>
              <w:spacing w:after="0" w:line="240"/>
            </w:pPr>
            <w:r>
              <w:rPr>
                <w:b/>
                <w:bCs/>
                <w:sz w:val="19"/>
                <w:szCs w:val="19"/>
              </w:rPr>
              <w:t xml:space="preserve">535</w:t>
            </w:r>
          </w:p>
        </w:tc>
        <w:tc>
          <w:tcPr>
            <w:tcW w:type="dxa" w:w="1500"/>
            <w:shd w:fill="F2F2F2" w:color="auto" w:val="clear"/>
            <w:tcMar>
              <w:top w:type="dxa" w:w="70"/>
              <w:left w:type="dxa" w:w="110"/>
              <w:bottom w:type="dxa" w:w="70"/>
              <w:right w:type="dxa" w:w="110"/>
            </w:tcMar>
          </w:tcPr>
          <w:p>
            <w:pPr>
              <w:spacing w:after="0" w:line="240"/>
              <w:jc w:val="center"/>
            </w:pPr>
            <w:r>
              <w:rPr>
                <w:rFonts w:ascii="Consolas" w:cs="Consolas" w:eastAsia="Consolas" w:hAnsi="Consolas"/>
                <w:sz w:val="19"/>
                <w:szCs w:val="19"/>
              </w:rPr>
              <w:t xml:space="preserve">26.18</w:t>
            </w:r>
          </w:p>
        </w:tc>
        <w:tc>
          <w:tcPr>
            <w:tcW w:type="dxa" w:w="1240"/>
            <w:shd w:fill="F2F2F2" w:color="auto" w:val="clear"/>
            <w:tcMar>
              <w:top w:type="dxa" w:w="70"/>
              <w:left w:type="dxa" w:w="110"/>
              <w:bottom w:type="dxa" w:w="70"/>
              <w:right w:type="dxa" w:w="110"/>
            </w:tcMar>
          </w:tcPr>
          <w:p>
            <w:pPr>
              <w:spacing w:after="0" w:line="240"/>
              <w:jc w:val="center"/>
            </w:pPr>
            <w:r>
              <w:rPr>
                <w:rFonts w:ascii="Consolas" w:cs="Consolas" w:eastAsia="Consolas" w:hAnsi="Consolas"/>
                <w:sz w:val="19"/>
                <w:szCs w:val="19"/>
              </w:rPr>
              <w:t xml:space="preserve">28.10</w:t>
            </w:r>
          </w:p>
        </w:tc>
        <w:tc>
          <w:tcPr>
            <w:tcW w:type="dxa" w:w="1500"/>
            <w:shd w:fill="F2F2F2" w:color="auto" w:val="clear"/>
            <w:tcMar>
              <w:top w:type="dxa" w:w="70"/>
              <w:left w:type="dxa" w:w="110"/>
              <w:bottom w:type="dxa" w:w="70"/>
              <w:right w:type="dxa" w:w="110"/>
            </w:tcMar>
          </w:tcPr>
          <w:p>
            <w:pPr>
              <w:spacing w:after="0" w:line="240"/>
              <w:jc w:val="center"/>
            </w:pPr>
            <w:r>
              <w:rPr>
                <w:rFonts w:ascii="Consolas" w:cs="Consolas" w:eastAsia="Consolas" w:hAnsi="Consolas"/>
                <w:sz w:val="19"/>
                <w:szCs w:val="19"/>
              </w:rPr>
              <w:t xml:space="preserve">28.19</w:t>
            </w:r>
          </w:p>
        </w:tc>
        <w:tc>
          <w:tcPr>
            <w:tcW w:type="dxa" w:w="2180"/>
            <w:shd w:fill="F2F2F2" w:color="auto" w:val="clear"/>
            <w:tcMar>
              <w:top w:type="dxa" w:w="70"/>
              <w:left w:type="dxa" w:w="110"/>
              <w:bottom w:type="dxa" w:w="70"/>
              <w:right w:type="dxa" w:w="110"/>
            </w:tcMar>
          </w:tcPr>
          <w:p>
            <w:pPr>
              <w:spacing w:after="0" w:line="240"/>
              <w:jc w:val="center"/>
            </w:pPr>
            <w:r>
              <w:rPr>
                <w:rFonts w:ascii="Consolas" w:cs="Consolas" w:eastAsia="Consolas" w:hAnsi="Consolas"/>
                <w:b/>
                <w:bCs/>
                <w:color w:val="1E6B3A"/>
                <w:sz w:val="19"/>
                <w:szCs w:val="19"/>
              </w:rPr>
              <w:t xml:space="preserve">+2.00 *</w:t>
            </w:r>
          </w:p>
        </w:tc>
        <w:tc>
          <w:tcPr>
            <w:tcW w:type="dxa" w:w="2180"/>
            <w:shd w:fill="F2F2F2" w:color="auto" w:val="clear"/>
            <w:tcMar>
              <w:top w:type="dxa" w:w="70"/>
              <w:left w:type="dxa" w:w="110"/>
              <w:bottom w:type="dxa" w:w="70"/>
              <w:right w:type="dxa" w:w="110"/>
            </w:tcMar>
          </w:tcPr>
          <w:p>
            <w:pPr>
              <w:spacing w:after="0" w:line="240"/>
              <w:jc w:val="center"/>
            </w:pPr>
            <w:r>
              <w:rPr>
                <w:rFonts w:ascii="Consolas" w:cs="Consolas" w:eastAsia="Consolas" w:hAnsi="Consolas"/>
                <w:b/>
                <w:bCs/>
                <w:color w:val="9C2A2A"/>
                <w:sz w:val="19"/>
                <w:szCs w:val="19"/>
              </w:rPr>
              <w:t xml:space="preserve">+0.08 [−0.55, +0.76]</w:t>
            </w:r>
          </w:p>
        </w:tc>
      </w:tr>
    </w:tbl>
    <w:p>
      <w:pPr>
        <w:spacing w:after="120" w:before="0" w:line="276"/>
      </w:pPr>
      <w:r>
        <w:rPr>
          <w:sz w:val="20"/>
          <w:szCs w:val="20"/>
        </w:rPr>
        <w:t xml:space="preserve">ASC alone against the best single model over the same span: +0.94 → +1.42 → +1.57 → +1.92 *. It has now cleared on its own.</w:t>
      </w:r>
    </w:p>
    <w:p>
      <w:pPr>
        <w:spacing w:after="120" w:line="276"/>
      </w:pPr>
      <w:r>
        <w:rPr>
          <w:b/>
          <w:bCs/>
          <w:sz w:val="21"/>
          <w:szCs w:val="21"/>
        </w:rPr>
        <w:t xml:space="preserve">Interpretation. </w:t>
      </w:r>
      <w:r>
        <w:rPr>
          <w:sz w:val="21"/>
          <w:szCs w:val="21"/>
        </w:rPr>
        <w:t xml:space="preserve">The contribution has relocated from the weighting to the merging. What survives is that merging beats the best single model; what does not survive is that our reliability weights add anything over simply counting how many models assert a claim. The null is now tight enough to state affirmatively rather than as a failure to detect.</w:t>
      </w:r>
    </w:p>
    <w:p>
      <w:pPr>
        <w:pStyle w:val="Heading1"/>
        <w:spacing w:after="140" w:before="280"/>
      </w:pPr>
      <w:r>
        <w:rPr>
          <w:b/>
          <w:bCs/>
          <w:color w:val="1F3864"/>
          <w:sz w:val="30"/>
          <w:szCs w:val="30"/>
        </w:rPr>
        <w:t xml:space="preserve">3. What the weighted rule actually does</w:t>
      </w:r>
    </w:p>
    <w:p>
      <w:pPr>
        <w:spacing w:after="120" w:before="0" w:line="276"/>
      </w:pPr>
      <w:r>
        <w:rPr>
          <w:sz w:val="20"/>
          <w:szCs w:val="20"/>
        </w:rPr>
        <w:t xml:space="preserve">At the optimal threshold the weighted filter is not performing continuous weighting. It reduces to a two-term discrete rule:</w:t>
      </w:r>
    </w:p>
    <w:p>
      <w:pPr>
        <w:spacing w:after="120" w:before="60"/>
        <w:ind w:left="360"/>
      </w:pPr>
      <w:r>
        <w:rPr>
          <w:rFonts w:ascii="Consolas" w:cs="Consolas" w:eastAsia="Consolas" w:hAnsi="Consolas"/>
          <w:b/>
          <w:bCs/>
          <w:sz w:val="20"/>
          <w:szCs w:val="20"/>
        </w:rPr>
        <w:t xml:space="preserve">keep an item if ≥ 2 models assert it, OR if grok-4.3 asserts it</w:t>
      </w:r>
    </w:p>
    <w:p>
      <w:pPr>
        <w:spacing w:after="120" w:before="0" w:line="276"/>
      </w:pPr>
      <w:r>
        <w:rPr>
          <w:sz w:val="20"/>
          <w:szCs w:val="20"/>
        </w:rPr>
        <w:t xml:space="preserve">That rule scores 30.51 at n=198 — identical to the tuned weighted filter. Substituting any other model into the trusted slot loses ground against plain counting: Cohere −3.59, Kimi −2.77, DeepSeek −2.35, MAI −2.11. The shuffled-weights control (27.43) is exactly the “trust the wrong model” value.</w:t>
      </w:r>
    </w:p>
    <w:p>
      <w:pPr>
        <w:spacing w:after="120" w:line="276"/>
      </w:pPr>
      <w:r>
        <w:rPr>
          <w:sz w:val="21"/>
          <w:szCs w:val="21"/>
        </w:rPr>
        <w:t xml:space="preserve">So the mechanism is: admit the best model's solo claims on top of consensus. The risk is misidentifying which model that is. This is a two-parameter heuristic, not reliability-weighted aggregation — and it is the most likely thing a reviewer will name.</w:t>
      </w:r>
    </w:p>
    <w:p>
      <w:pPr>
        <w:pStyle w:val="Heading1"/>
        <w:spacing w:after="140" w:before="280"/>
      </w:pPr>
      <w:r>
        <w:rPr>
          <w:b/>
          <w:bCs/>
          <w:color w:val="1F3864"/>
          <w:sz w:val="30"/>
          <w:szCs w:val="30"/>
        </w:rPr>
        <w:t xml:space="preserve">4. Verification</w:t>
      </w:r>
    </w:p>
    <w:p>
      <w:pPr>
        <w:spacing w:after="120" w:before="0" w:line="276"/>
      </w:pPr>
      <w:r>
        <w:rPr>
          <w:sz w:val="20"/>
          <w:szCs w:val="20"/>
        </w:rPr>
        <w:t xml:space="preserve">The n=198 result was re-derived from the raw generation file without reading the original analysis code, per the prior handoff's own instruction.</w:t>
      </w:r>
    </w:p>
    <w:p>
      <w:pPr>
        <w:pStyle w:val="ListParagraph"/>
        <w:numPr>
          <w:ilvl w:val="0"/>
          <w:numId w:val="2"/>
        </w:numPr>
        <w:spacing w:after="80" w:line="276"/>
      </w:pPr>
      <w:r>
        <w:rPr>
          <w:sz w:val="21"/>
          <w:szCs w:val="21"/>
        </w:rPr>
        <w:t xml:space="preserve">Grading contract: re-grading each model's own list reproduces the stored generation-time F1 to |Δ| = 0.0000 for all five models.</w:t>
      </w:r>
    </w:p>
    <w:p>
      <w:pPr>
        <w:pStyle w:val="ListParagraph"/>
        <w:numPr>
          <w:ilvl w:val="0"/>
          <w:numId w:val="2"/>
        </w:numPr>
        <w:spacing w:after="80" w:line="276"/>
      </w:pPr>
      <w:r>
        <w:rPr>
          <w:sz w:val="21"/>
          <w:szCs w:val="21"/>
        </w:rPr>
        <w:t xml:space="preserve">Every reported figure reproduced: best single 28.60, count 29.54, weighted 30.66, uniform 29.54, shuffled 27.43.</w:t>
      </w:r>
    </w:p>
    <w:p>
      <w:pPr>
        <w:pStyle w:val="ListParagraph"/>
        <w:numPr>
          <w:ilvl w:val="0"/>
          <w:numId w:val="2"/>
        </w:numPr>
        <w:spacing w:after="80" w:line="276"/>
      </w:pPr>
      <w:r>
        <w:rPr>
          <w:sz w:val="21"/>
          <w:szCs w:val="21"/>
        </w:rPr>
        <w:t xml:space="preserve">Uniform weights reproduce the count filter exactly (Δ = 0.00, zero-width CI), so the gain never came from having a continuous threshold.</w:t>
      </w:r>
    </w:p>
    <w:p>
      <w:pPr>
        <w:pStyle w:val="ListParagraph"/>
        <w:numPr>
          <w:ilvl w:val="0"/>
          <w:numId w:val="2"/>
        </w:numPr>
        <w:spacing w:after="80" w:line="276"/>
      </w:pPr>
      <w:r>
        <w:rPr>
          <w:sz w:val="21"/>
          <w:szCs w:val="21"/>
        </w:rPr>
        <w:t xml:space="preserve">Shuffling weights onto the wrong models costs 3.23 points, so model identity carried real signal at n=198 — though at n=535 that signal no longer translates into a margin over counting.</w:t>
      </w:r>
    </w:p>
    <w:p>
      <w:pPr>
        <w:pStyle w:val="ListParagraph"/>
        <w:numPr>
          <w:ilvl w:val="0"/>
          <w:numId w:val="2"/>
        </w:numPr>
        <w:spacing w:after="80" w:line="276"/>
      </w:pPr>
      <w:r>
        <w:rPr>
          <w:sz w:val="21"/>
          <w:szCs w:val="21"/>
        </w:rPr>
        <w:t xml:space="preserve">Cross-fitting the threshold (choose on 80%, report on held-out 20%, rotate) holds the headline: 30.66, +2.06, CI still excluding zero. All five folds independently selected the same threshold.</w:t>
      </w:r>
    </w:p>
    <w:p>
      <w:pPr>
        <w:pStyle w:val="Heading1"/>
        <w:spacing w:after="140" w:before="280"/>
      </w:pPr>
      <w:r>
        <w:rPr>
          <w:b/>
          <w:bCs/>
          <w:color w:val="1F3864"/>
          <w:sz w:val="30"/>
          <w:szCs w:val="30"/>
        </w:rPr>
        <w:t xml:space="preserve">5. Corrections to the previous handoff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shd w:fill="1F3864" w:color="auto" w:val="clear"/>
            <w:tcMar>
              <w:top w:type="dxa" w:w="70"/>
              <w:left w:type="dxa" w:w="110"/>
              <w:bottom w:type="dxa" w:w="70"/>
              <w:right w:type="dxa" w:w="110"/>
            </w:tcMar>
          </w:tcPr>
          <w:p>
            <w:pPr>
              <w:spacing w:after="0" w:line="240"/>
            </w:pPr>
            <w:r>
              <w:rPr>
                <w:b/>
                <w:bCs/>
                <w:color w:val="FFFFFF"/>
                <w:sz w:val="19"/>
                <w:szCs w:val="19"/>
              </w:rPr>
              <w:t xml:space="preserve">claim</w:t>
            </w:r>
          </w:p>
        </w:tc>
        <w:tc>
          <w:tcPr>
            <w:tcW w:type="dxa" w:w="6860"/>
            <w:shd w:fill="1F3864" w:color="auto" w:val="clear"/>
            <w:tcMar>
              <w:top w:type="dxa" w:w="70"/>
              <w:left w:type="dxa" w:w="110"/>
              <w:bottom w:type="dxa" w:w="70"/>
              <w:right w:type="dxa" w:w="110"/>
            </w:tcMar>
          </w:tcPr>
          <w:p>
            <w:pPr>
              <w:spacing w:after="0" w:line="240"/>
              <w:jc w:val="center"/>
            </w:pPr>
            <w:r>
              <w:rPr>
                <w:b/>
                <w:bCs/>
                <w:color w:val="FFFFFF"/>
                <w:sz w:val="19"/>
                <w:szCs w:val="19"/>
              </w:rPr>
              <w:t xml:space="preserve">finding</w:t>
            </w:r>
          </w:p>
        </w:tc>
      </w:tr>
      <w:tr>
        <w:tc>
          <w:tcPr>
            <w:tcW w:type="dxa" w:w="2500"/>
            <w:tcMar>
              <w:top w:type="dxa" w:w="70"/>
              <w:left w:type="dxa" w:w="110"/>
              <w:bottom w:type="dxa" w:w="70"/>
              <w:right w:type="dxa" w:w="110"/>
            </w:tcMar>
          </w:tcPr>
          <w:p>
            <w:pPr>
              <w:spacing w:after="0" w:line="240"/>
            </w:pPr>
            <w:r>
              <w:rPr>
                <w:sz w:val="19"/>
                <w:szCs w:val="19"/>
              </w:rPr>
              <w:t xml:space="preserve">“Bug A cost ~1 F1 point”</w:t>
            </w:r>
          </w:p>
        </w:tc>
        <w:tc>
          <w:tcPr>
            <w:tcW w:type="dxa" w:w="6860"/>
            <w:tcMar>
              <w:top w:type="dxa" w:w="70"/>
              <w:left w:type="dxa" w:w="110"/>
              <w:bottom w:type="dxa" w:w="70"/>
              <w:right w:type="dxa" w:w="110"/>
            </w:tcMar>
          </w:tcPr>
          <w:p>
            <w:pPr>
              <w:spacing w:after="0" w:line="240"/>
              <w:jc w:val="center"/>
            </w:pPr>
            <w:r>
              <w:rPr>
                <w:sz w:val="19"/>
                <w:szCs w:val="19"/>
              </w:rPr>
              <w:t xml:space="preserve">Never fired. Zero within-model duplicates in 22,131 items; dedup on/off is identical at every threshold. The parser already deduplicated by the same normaliser. Threshold-sweep resolution alone explains the recovery.</w:t>
            </w:r>
          </w:p>
        </w:tc>
      </w:tr>
      <w:tr>
        <w:tc>
          <w:tcPr>
            <w:tcW w:type="dxa" w:w="2500"/>
            <w:shd w:fill="F2F2F2" w:color="auto" w:val="clear"/>
            <w:tcMar>
              <w:top w:type="dxa" w:w="70"/>
              <w:left w:type="dxa" w:w="110"/>
              <w:bottom w:type="dxa" w:w="70"/>
              <w:right w:type="dxa" w:w="110"/>
            </w:tcMar>
          </w:tcPr>
          <w:p>
            <w:pPr>
              <w:spacing w:after="0" w:line="240"/>
            </w:pPr>
            <w:r>
              <w:rPr>
                <w:sz w:val="19"/>
                <w:szCs w:val="19"/>
              </w:rPr>
              <w:t xml:space="preserve">“Uniform must equal count(2), else the dedup fix is lost”</w:t>
            </w:r>
          </w:p>
        </w:tc>
        <w:tc>
          <w:tcPr>
            <w:tcW w:type="dxa" w:w="6860"/>
            <w:shd w:fill="F2F2F2" w:color="auto" w:val="clear"/>
            <w:tcMar>
              <w:top w:type="dxa" w:w="70"/>
              <w:left w:type="dxa" w:w="110"/>
              <w:bottom w:type="dxa" w:w="70"/>
              <w:right w:type="dxa" w:w="110"/>
            </w:tcMar>
          </w:tcPr>
          <w:p>
            <w:pPr>
              <w:spacing w:after="0" w:line="240"/>
              <w:jc w:val="center"/>
            </w:pPr>
            <w:r>
              <w:rPr>
                <w:sz w:val="19"/>
                <w:szCs w:val="19"/>
              </w:rPr>
              <w:t xml:space="preserve">Vacuous. With zero duplicates the identity holds whether or not the fix is present, so the check cannot detect what it was written to detect.</w:t>
            </w:r>
          </w:p>
        </w:tc>
      </w:tr>
      <w:tr>
        <w:tc>
          <w:tcPr>
            <w:tcW w:type="dxa" w:w="2500"/>
            <w:tcMar>
              <w:top w:type="dxa" w:w="70"/>
              <w:left w:type="dxa" w:w="110"/>
              <w:bottom w:type="dxa" w:w="70"/>
              <w:right w:type="dxa" w:w="110"/>
            </w:tcMar>
          </w:tcPr>
          <w:p>
            <w:pPr>
              <w:spacing w:after="0" w:line="240"/>
            </w:pPr>
            <w:r>
              <w:rPr>
                <w:sz w:val="19"/>
                <w:szCs w:val="19"/>
              </w:rPr>
              <w:t xml:space="preserve">“The ASQA script carries Bug A”</w:t>
            </w:r>
          </w:p>
        </w:tc>
        <w:tc>
          <w:tcPr>
            <w:tcW w:type="dxa" w:w="6860"/>
            <w:tcMar>
              <w:top w:type="dxa" w:w="70"/>
              <w:left w:type="dxa" w:w="110"/>
              <w:bottom w:type="dxa" w:w="70"/>
              <w:right w:type="dxa" w:w="110"/>
            </w:tcMar>
          </w:tcPr>
          <w:p>
            <w:pPr>
              <w:spacing w:after="0" w:line="240"/>
              <w:jc w:val="center"/>
            </w:pPr>
            <w:r>
              <w:rPr>
                <w:sz w:val="19"/>
                <w:szCs w:val="19"/>
              </w:rPr>
              <w:t xml:space="preserve">It does not — it already deduplicates one vote per model per cluster.</w:t>
            </w:r>
          </w:p>
        </w:tc>
      </w:tr>
      <w:tr>
        <w:tc>
          <w:tcPr>
            <w:tcW w:type="dxa" w:w="2500"/>
            <w:shd w:fill="F2F2F2" w:color="auto" w:val="clear"/>
            <w:tcMar>
              <w:top w:type="dxa" w:w="70"/>
              <w:left w:type="dxa" w:w="110"/>
              <w:bottom w:type="dxa" w:w="70"/>
              <w:right w:type="dxa" w:w="110"/>
            </w:tcMar>
          </w:tcPr>
          <w:p>
            <w:pPr>
              <w:spacing w:after="0" w:line="240"/>
            </w:pPr>
            <w:r>
              <w:rPr>
                <w:sz w:val="19"/>
                <w:szCs w:val="19"/>
              </w:rPr>
              <w:t xml:space="preserve">“Normalisation may merge distinct entities and overstate precision”</w:t>
            </w:r>
          </w:p>
        </w:tc>
        <w:tc>
          <w:tcPr>
            <w:tcW w:type="dxa" w:w="6860"/>
            <w:shd w:fill="F2F2F2" w:color="auto" w:val="clear"/>
            <w:tcMar>
              <w:top w:type="dxa" w:w="70"/>
              <w:left w:type="dxa" w:w="110"/>
              <w:bottom w:type="dxa" w:w="70"/>
              <w:right w:type="dxa" w:w="110"/>
            </w:tcMar>
          </w:tcPr>
          <w:p>
            <w:pPr>
              <w:spacing w:after="0" w:line="240"/>
              <w:jc w:val="center"/>
            </w:pPr>
            <w:r>
              <w:rPr>
                <w:sz w:val="19"/>
                <w:szCs w:val="19"/>
              </w:rPr>
              <w:t xml:space="preserve">Cannot happen. Zero distinct gold answers collide within a question, and grading normalises both sides before matching, so a collision always yields the same verdict for both surface forms.</w:t>
            </w:r>
          </w:p>
        </w:tc>
      </w:tr>
      <w:tr>
        <w:tc>
          <w:tcPr>
            <w:tcW w:type="dxa" w:w="2500"/>
            <w:tcMar>
              <w:top w:type="dxa" w:w="70"/>
              <w:left w:type="dxa" w:w="110"/>
              <w:bottom w:type="dxa" w:w="70"/>
              <w:right w:type="dxa" w:w="110"/>
            </w:tcMar>
          </w:tcPr>
          <w:p>
            <w:pPr>
              <w:spacing w:after="0" w:line="240"/>
            </w:pPr>
            <w:r>
              <w:rPr>
                <w:sz w:val="19"/>
                <w:szCs w:val="19"/>
              </w:rPr>
              <w:t xml:space="preserve">§4.4 cross-fitted threshold — open</w:t>
            </w:r>
          </w:p>
        </w:tc>
        <w:tc>
          <w:tcPr>
            <w:tcW w:type="dxa" w:w="6860"/>
            <w:tcMar>
              <w:top w:type="dxa" w:w="70"/>
              <w:left w:type="dxa" w:w="110"/>
              <w:bottom w:type="dxa" w:w="70"/>
              <w:right w:type="dxa" w:w="110"/>
            </w:tcMar>
          </w:tcPr>
          <w:p>
            <w:pPr>
              <w:spacing w:after="0" w:line="240"/>
              <w:jc w:val="center"/>
            </w:pPr>
            <w:r>
              <w:rPr>
                <w:sz w:val="19"/>
                <w:szCs w:val="19"/>
              </w:rPr>
              <w:t xml:space="preserve">Done. Result holds at 30.66, +2.06, CI excluding zero.</w:t>
            </w:r>
          </w:p>
        </w:tc>
      </w:tr>
    </w:tbl>
    <w:p>
      <w:pPr>
        <w:pStyle w:val="Heading1"/>
        <w:spacing w:after="140" w:before="280"/>
      </w:pPr>
      <w:r>
        <w:rPr>
          <w:b/>
          <w:bCs/>
          <w:color w:val="1F3864"/>
          <w:sz w:val="30"/>
          <w:szCs w:val="30"/>
        </w:rPr>
        <w:t xml:space="preserve">6. Why ASQA and FACTS cannot replicate this</w:t>
      </w:r>
    </w:p>
    <w:p>
      <w:pPr>
        <w:spacing w:after="120" w:before="0" w:line="276"/>
      </w:pPr>
      <w:r>
        <w:rPr>
          <w:sz w:val="20"/>
          <w:szCs w:val="20"/>
        </w:rPr>
        <w:t xml:space="preserve">A merging filter trades precision against recall. A benchmark can only adjudicate it if its metric scores both. Of the three benchmarks run, only QAMPARI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3460"/>
      </w:tblGrid>
      <w:tr>
        <w:trPr>
          <w:tblHeader/>
        </w:trPr>
        <w:tc>
          <w:tcPr>
            <w:tcW w:type="dxa" w:w="1500"/>
            <w:shd w:fill="1F3864" w:color="auto" w:val="clear"/>
            <w:tcMar>
              <w:top w:type="dxa" w:w="70"/>
              <w:left w:type="dxa" w:w="110"/>
              <w:bottom w:type="dxa" w:w="70"/>
              <w:right w:type="dxa" w:w="110"/>
            </w:tcMar>
          </w:tcPr>
          <w:p>
            <w:pPr>
              <w:spacing w:after="0" w:line="240"/>
            </w:pPr>
            <w:r>
              <w:rPr>
                <w:b/>
                <w:bCs/>
                <w:color w:val="FFFFFF"/>
                <w:sz w:val="19"/>
                <w:szCs w:val="19"/>
              </w:rPr>
              <w:t xml:space="preserve">benchmark</w:t>
            </w:r>
          </w:p>
        </w:tc>
        <w:tc>
          <w:tcPr>
            <w:tcW w:type="dxa" w:w="2200"/>
            <w:shd w:fill="1F3864" w:color="auto" w:val="clear"/>
            <w:tcMar>
              <w:top w:type="dxa" w:w="70"/>
              <w:left w:type="dxa" w:w="110"/>
              <w:bottom w:type="dxa" w:w="70"/>
              <w:right w:type="dxa" w:w="110"/>
            </w:tcMar>
          </w:tcPr>
          <w:p>
            <w:pPr>
              <w:spacing w:after="0" w:line="240"/>
              <w:jc w:val="center"/>
            </w:pPr>
            <w:r>
              <w:rPr>
                <w:b/>
                <w:bCs/>
                <w:color w:val="FFFFFF"/>
                <w:sz w:val="19"/>
                <w:szCs w:val="19"/>
              </w:rPr>
              <w:t xml:space="preserve">metric</w:t>
            </w:r>
          </w:p>
        </w:tc>
        <w:tc>
          <w:tcPr>
            <w:tcW w:type="dxa" w:w="2200"/>
            <w:shd w:fill="1F3864" w:color="auto" w:val="clear"/>
            <w:tcMar>
              <w:top w:type="dxa" w:w="70"/>
              <w:left w:type="dxa" w:w="110"/>
              <w:bottom w:type="dxa" w:w="70"/>
              <w:right w:type="dxa" w:w="110"/>
            </w:tcMar>
          </w:tcPr>
          <w:p>
            <w:pPr>
              <w:spacing w:after="0" w:line="240"/>
              <w:jc w:val="center"/>
            </w:pPr>
            <w:r>
              <w:rPr>
                <w:b/>
                <w:bCs/>
                <w:color w:val="FFFFFF"/>
                <w:sz w:val="19"/>
                <w:szCs w:val="19"/>
              </w:rPr>
              <w:t xml:space="preserve">scores</w:t>
            </w:r>
          </w:p>
        </w:tc>
        <w:tc>
          <w:tcPr>
            <w:tcW w:type="dxa" w:w="3460"/>
            <w:shd w:fill="1F3864" w:color="auto" w:val="clear"/>
            <w:tcMar>
              <w:top w:type="dxa" w:w="70"/>
              <w:left w:type="dxa" w:w="110"/>
              <w:bottom w:type="dxa" w:w="70"/>
              <w:right w:type="dxa" w:w="110"/>
            </w:tcMar>
          </w:tcPr>
          <w:p>
            <w:pPr>
              <w:spacing w:after="0" w:line="240"/>
              <w:jc w:val="center"/>
            </w:pPr>
            <w:r>
              <w:rPr>
                <w:b/>
                <w:bCs/>
                <w:color w:val="FFFFFF"/>
                <w:sz w:val="19"/>
                <w:szCs w:val="19"/>
              </w:rPr>
              <w:t xml:space="preserve">consequence for a filter</w:t>
            </w:r>
          </w:p>
        </w:tc>
      </w:tr>
      <w:tr>
        <w:tc>
          <w:tcPr>
            <w:tcW w:type="dxa" w:w="1500"/>
            <w:tcMar>
              <w:top w:type="dxa" w:w="70"/>
              <w:left w:type="dxa" w:w="110"/>
              <w:bottom w:type="dxa" w:w="70"/>
              <w:right w:type="dxa" w:w="110"/>
            </w:tcMar>
          </w:tcPr>
          <w:p>
            <w:pPr>
              <w:spacing w:after="0" w:line="240"/>
            </w:pPr>
            <w:r>
              <w:rPr>
                <w:sz w:val="19"/>
                <w:szCs w:val="19"/>
              </w:rPr>
              <w:t xml:space="preserve">QAMPARI</w:t>
            </w:r>
          </w:p>
        </w:tc>
        <w:tc>
          <w:tcPr>
            <w:tcW w:type="dxa" w:w="2200"/>
            <w:tcMar>
              <w:top w:type="dxa" w:w="70"/>
              <w:left w:type="dxa" w:w="110"/>
              <w:bottom w:type="dxa" w:w="70"/>
              <w:right w:type="dxa" w:w="110"/>
            </w:tcMar>
          </w:tcPr>
          <w:p>
            <w:pPr>
              <w:spacing w:after="0" w:line="240"/>
              <w:jc w:val="center"/>
            </w:pPr>
            <w:r>
              <w:rPr>
                <w:sz w:val="19"/>
                <w:szCs w:val="19"/>
              </w:rPr>
              <w:t xml:space="preserve">set-F1</w:t>
            </w:r>
          </w:p>
        </w:tc>
        <w:tc>
          <w:tcPr>
            <w:tcW w:type="dxa" w:w="2200"/>
            <w:tcMar>
              <w:top w:type="dxa" w:w="70"/>
              <w:left w:type="dxa" w:w="110"/>
              <w:bottom w:type="dxa" w:w="70"/>
              <w:right w:type="dxa" w:w="110"/>
            </w:tcMar>
          </w:tcPr>
          <w:p>
            <w:pPr>
              <w:spacing w:after="0" w:line="240"/>
              <w:jc w:val="center"/>
            </w:pPr>
            <w:r>
              <w:rPr>
                <w:sz w:val="19"/>
                <w:szCs w:val="19"/>
              </w:rPr>
              <w:t xml:space="preserve">precision + recall</w:t>
            </w:r>
          </w:p>
        </w:tc>
        <w:tc>
          <w:tcPr>
            <w:tcW w:type="dxa" w:w="3460"/>
            <w:tcMar>
              <w:top w:type="dxa" w:w="70"/>
              <w:left w:type="dxa" w:w="110"/>
              <w:bottom w:type="dxa" w:w="70"/>
              <w:right w:type="dxa" w:w="110"/>
            </w:tcMar>
          </w:tcPr>
          <w:p>
            <w:pPr>
              <w:spacing w:after="0" w:line="240"/>
              <w:jc w:val="center"/>
            </w:pPr>
            <w:r>
              <w:rPr>
                <w:sz w:val="19"/>
                <w:szCs w:val="19"/>
              </w:rPr>
              <w:t xml:space="preserve">Tradeoff exists; the method is testable.</w:t>
            </w:r>
          </w:p>
        </w:tc>
      </w:tr>
      <w:tr>
        <w:tc>
          <w:tcPr>
            <w:tcW w:type="dxa" w:w="1500"/>
            <w:shd w:fill="F2F2F2" w:color="auto" w:val="clear"/>
            <w:tcMar>
              <w:top w:type="dxa" w:w="70"/>
              <w:left w:type="dxa" w:w="110"/>
              <w:bottom w:type="dxa" w:w="70"/>
              <w:right w:type="dxa" w:w="110"/>
            </w:tcMar>
          </w:tcPr>
          <w:p>
            <w:pPr>
              <w:spacing w:after="0" w:line="240"/>
            </w:pPr>
            <w:r>
              <w:rPr>
                <w:sz w:val="19"/>
                <w:szCs w:val="19"/>
              </w:rPr>
              <w:t xml:space="preserve">ASQA</w:t>
            </w:r>
          </w:p>
        </w:tc>
        <w:tc>
          <w:tcPr>
            <w:tcW w:type="dxa" w:w="2200"/>
            <w:shd w:fill="F2F2F2" w:color="auto" w:val="clear"/>
            <w:tcMar>
              <w:top w:type="dxa" w:w="70"/>
              <w:left w:type="dxa" w:w="110"/>
              <w:bottom w:type="dxa" w:w="70"/>
              <w:right w:type="dxa" w:w="110"/>
            </w:tcMar>
          </w:tcPr>
          <w:p>
            <w:pPr>
              <w:spacing w:after="0" w:line="240"/>
              <w:jc w:val="center"/>
            </w:pPr>
            <w:r>
              <w:rPr>
                <w:sz w:val="19"/>
                <w:szCs w:val="19"/>
              </w:rPr>
              <w:t xml:space="preserve">STR-EM</w:t>
            </w:r>
          </w:p>
        </w:tc>
        <w:tc>
          <w:tcPr>
            <w:tcW w:type="dxa" w:w="2200"/>
            <w:shd w:fill="F2F2F2" w:color="auto" w:val="clear"/>
            <w:tcMar>
              <w:top w:type="dxa" w:w="70"/>
              <w:left w:type="dxa" w:w="110"/>
              <w:bottom w:type="dxa" w:w="70"/>
              <w:right w:type="dxa" w:w="110"/>
            </w:tcMar>
          </w:tcPr>
          <w:p>
            <w:pPr>
              <w:spacing w:after="0" w:line="240"/>
              <w:jc w:val="center"/>
            </w:pPr>
            <w:r>
              <w:rPr>
                <w:sz w:val="19"/>
                <w:szCs w:val="19"/>
              </w:rPr>
              <w:t xml:space="preserve">recall only</w:t>
            </w:r>
          </w:p>
        </w:tc>
        <w:tc>
          <w:tcPr>
            <w:tcW w:type="dxa" w:w="3460"/>
            <w:shd w:fill="F2F2F2" w:color="auto" w:val="clear"/>
            <w:tcMar>
              <w:top w:type="dxa" w:w="70"/>
              <w:left w:type="dxa" w:w="110"/>
              <w:bottom w:type="dxa" w:w="70"/>
              <w:right w:type="dxa" w:w="110"/>
            </w:tcMar>
          </w:tcPr>
          <w:p>
            <w:pPr>
              <w:spacing w:after="0" w:line="240"/>
              <w:jc w:val="center"/>
            </w:pPr>
            <w:r>
              <w:rPr>
                <w:sz w:val="19"/>
                <w:szCs w:val="19"/>
              </w:rPr>
              <w:t xml:space="preserve">Optimum is θ=1, keep everything (53.70%), decaying monotonically 35.85 / 28.36 / 21.82 / 15.80. Every arm collapses to union.</w:t>
            </w:r>
          </w:p>
        </w:tc>
      </w:tr>
      <w:tr>
        <w:tc>
          <w:tcPr>
            <w:tcW w:type="dxa" w:w="1500"/>
            <w:tcMar>
              <w:top w:type="dxa" w:w="70"/>
              <w:left w:type="dxa" w:w="110"/>
              <w:bottom w:type="dxa" w:w="70"/>
              <w:right w:type="dxa" w:w="110"/>
            </w:tcMar>
          </w:tcPr>
          <w:p>
            <w:pPr>
              <w:spacing w:after="0" w:line="240"/>
            </w:pPr>
            <w:r>
              <w:rPr>
                <w:sz w:val="19"/>
                <w:szCs w:val="19"/>
              </w:rPr>
              <w:t xml:space="preserve">FACTS</w:t>
            </w:r>
          </w:p>
        </w:tc>
        <w:tc>
          <w:tcPr>
            <w:tcW w:type="dxa" w:w="2200"/>
            <w:tcMar>
              <w:top w:type="dxa" w:w="70"/>
              <w:left w:type="dxa" w:w="110"/>
              <w:bottom w:type="dxa" w:w="70"/>
              <w:right w:type="dxa" w:w="110"/>
            </w:tcMar>
          </w:tcPr>
          <w:p>
            <w:pPr>
              <w:spacing w:after="0" w:line="240"/>
              <w:jc w:val="center"/>
            </w:pPr>
            <w:r>
              <w:rPr>
                <w:sz w:val="19"/>
                <w:szCs w:val="19"/>
              </w:rPr>
              <w:t xml:space="preserve">groundedness</w:t>
            </w:r>
          </w:p>
        </w:tc>
        <w:tc>
          <w:tcPr>
            <w:tcW w:type="dxa" w:w="2200"/>
            <w:tcMar>
              <w:top w:type="dxa" w:w="70"/>
              <w:left w:type="dxa" w:w="110"/>
              <w:bottom w:type="dxa" w:w="70"/>
              <w:right w:type="dxa" w:w="110"/>
            </w:tcMar>
          </w:tcPr>
          <w:p>
            <w:pPr>
              <w:spacing w:after="0" w:line="240"/>
              <w:jc w:val="center"/>
            </w:pPr>
            <w:r>
              <w:rPr>
                <w:sz w:val="19"/>
                <w:szCs w:val="19"/>
              </w:rPr>
              <w:t xml:space="preserve">precision only</w:t>
            </w:r>
          </w:p>
        </w:tc>
        <w:tc>
          <w:tcPr>
            <w:tcW w:type="dxa" w:w="3460"/>
            <w:tcMar>
              <w:top w:type="dxa" w:w="70"/>
              <w:left w:type="dxa" w:w="110"/>
              <w:bottom w:type="dxa" w:w="70"/>
              <w:right w:type="dxa" w:w="110"/>
            </w:tcMar>
          </w:tcPr>
          <w:p>
            <w:pPr>
              <w:spacing w:after="0" w:line="240"/>
              <w:jc w:val="center"/>
            </w:pPr>
            <w:r>
              <w:rPr>
                <w:sz w:val="19"/>
                <w:szCs w:val="19"/>
              </w:rPr>
              <w:t xml:space="preserve">No coverage term exists in the data; biased the opposite way.</w:t>
            </w:r>
          </w:p>
        </w:tc>
      </w:tr>
    </w:tbl>
    <w:p>
      <w:pPr>
        <w:spacing w:after="120" w:line="276"/>
      </w:pPr>
      <w:r>
        <w:rPr>
          <w:b/>
          <w:bCs/>
          <w:sz w:val="21"/>
          <w:szCs w:val="21"/>
        </w:rPr>
        <w:t xml:space="preserve">This reframes the replication blocker. </w:t>
      </w:r>
      <w:r>
        <w:rPr>
          <w:sz w:val="21"/>
          <w:szCs w:val="21"/>
        </w:rPr>
        <w:t xml:space="preserve">It is not that the effect failed to replicate — it is that no second benchmark currently available can confirm or refute it. What is needed is a set-valued benchmark with an F1-style metric, not further work on the existing scripts.</w:t>
      </w:r>
    </w:p>
    <w:p>
      <w:pPr>
        <w:pStyle w:val="Heading1"/>
        <w:spacing w:after="140" w:before="280"/>
      </w:pPr>
      <w:r>
        <w:rPr>
          <w:b/>
          <w:bCs/>
          <w:color w:val="1F3864"/>
          <w:sz w:val="30"/>
          <w:szCs w:val="30"/>
        </w:rPr>
        <w:t xml:space="preserve">7. What is and is not established</w:t>
      </w:r>
    </w:p>
    <w:p>
      <w:pPr>
        <w:spacing w:after="60" w:before="0" w:line="276"/>
      </w:pPr>
      <w:r>
        <w:rPr>
          <w:b/>
          <w:bCs/>
          <w:color w:val="1E6B3A"/>
          <w:sz w:val="21"/>
          <w:szCs w:val="21"/>
        </w:rPr>
        <w:t xml:space="preserve">Established</w:t>
      </w:r>
    </w:p>
    <w:p>
      <w:pPr>
        <w:pStyle w:val="ListParagraph"/>
        <w:numPr>
          <w:ilvl w:val="0"/>
          <w:numId w:val="2"/>
        </w:numPr>
        <w:spacing w:after="80" w:line="276"/>
      </w:pPr>
      <w:r>
        <w:rPr>
          <w:sz w:val="21"/>
          <w:szCs w:val="21"/>
        </w:rPr>
        <w:t xml:space="preserve">Merging atomic claims across models beats the best single model on QAMPARI, +2.00 [+1.11, +2.96], stable across four sample sizes.</w:t>
      </w:r>
    </w:p>
    <w:p>
      <w:pPr>
        <w:pStyle w:val="ListParagraph"/>
        <w:numPr>
          <w:ilvl w:val="0"/>
          <w:numId w:val="2"/>
        </w:numPr>
        <w:spacing w:after="80" w:line="276"/>
      </w:pPr>
      <w:r>
        <w:rPr>
          <w:sz w:val="21"/>
          <w:szCs w:val="21"/>
        </w:rPr>
        <w:t xml:space="preserve">Majority voting and the published OW selection rule both fail to beat the best single model on open-ended set-valued answers — OW provably so, since it degenerates to picking one model.</w:t>
      </w:r>
    </w:p>
    <w:p>
      <w:pPr>
        <w:pStyle w:val="ListParagraph"/>
        <w:numPr>
          <w:ilvl w:val="0"/>
          <w:numId w:val="2"/>
        </w:numPr>
        <w:spacing w:after="80" w:line="276"/>
      </w:pPr>
      <w:r>
        <w:rPr>
          <w:sz w:val="21"/>
          <w:szCs w:val="21"/>
        </w:rPr>
        <w:t xml:space="preserve">The result sits formally outside the co-failure ceiling of arXiv 2606.27288, which bounds any policy whose output is almost surely one of the members' answers. Merging assembles a new answer from fragments.</w:t>
      </w:r>
    </w:p>
    <w:p>
      <w:pPr>
        <w:pStyle w:val="ListParagraph"/>
        <w:numPr>
          <w:ilvl w:val="0"/>
          <w:numId w:val="2"/>
        </w:numPr>
        <w:spacing w:after="80" w:line="276"/>
      </w:pPr>
      <w:r>
        <w:rPr>
          <w:sz w:val="21"/>
          <w:szCs w:val="21"/>
        </w:rPr>
        <w:t xml:space="preserve">QAMPARI is programmatically graded, so the result sits inside that paper's own evaluation regime rather than outside it.</w:t>
      </w:r>
    </w:p>
    <w:p>
      <w:pPr>
        <w:spacing w:after="60" w:before="120" w:line="276"/>
      </w:pPr>
      <w:r>
        <w:rPr>
          <w:b/>
          <w:bCs/>
          <w:color w:val="9C2A2A"/>
          <w:sz w:val="21"/>
          <w:szCs w:val="21"/>
        </w:rPr>
        <w:t xml:space="preserve">Not established</w:t>
      </w:r>
    </w:p>
    <w:p>
      <w:pPr>
        <w:pStyle w:val="ListParagraph"/>
        <w:numPr>
          <w:ilvl w:val="0"/>
          <w:numId w:val="2"/>
        </w:numPr>
        <w:spacing w:after="80" w:line="276"/>
      </w:pPr>
      <w:r>
        <w:rPr>
          <w:sz w:val="21"/>
          <w:szCs w:val="21"/>
        </w:rPr>
        <w:t xml:space="preserve">That reliability weighting beats counting. Currently +0.08 [−0.55, +0.76]; the evidence now points at no effect.</w:t>
      </w:r>
    </w:p>
    <w:p>
      <w:pPr>
        <w:pStyle w:val="ListParagraph"/>
        <w:numPr>
          <w:ilvl w:val="0"/>
          <w:numId w:val="2"/>
        </w:numPr>
        <w:spacing w:after="80" w:line="276"/>
      </w:pPr>
      <w:r>
        <w:rPr>
          <w:sz w:val="21"/>
          <w:szCs w:val="21"/>
        </w:rPr>
        <w:t xml:space="preserve">That any of this works without labels. Every weight is supervised cross-fitted per-model precision. The label-free configuration is untested.</w:t>
      </w:r>
    </w:p>
    <w:p>
      <w:pPr>
        <w:pStyle w:val="ListParagraph"/>
        <w:numPr>
          <w:ilvl w:val="0"/>
          <w:numId w:val="2"/>
        </w:numPr>
        <w:spacing w:after="80" w:line="276"/>
      </w:pPr>
      <w:r>
        <w:rPr>
          <w:sz w:val="21"/>
          <w:szCs w:val="21"/>
        </w:rPr>
        <w:t xml:space="preserve">Replication. One benchmark, and no second benchmark capable of adjudicating.</w:t>
      </w:r>
    </w:p>
    <w:p>
      <w:pPr>
        <w:pStyle w:val="Heading1"/>
        <w:spacing w:after="140" w:before="280"/>
      </w:pPr>
      <w:r>
        <w:rPr>
          <w:b/>
          <w:bCs/>
          <w:color w:val="1F3864"/>
          <w:sz w:val="30"/>
          <w:szCs w:val="30"/>
        </w:rPr>
        <w:t xml:space="preserve">8. Open questions for discussion</w:t>
      </w:r>
    </w:p>
    <w:p>
      <w:pPr>
        <w:spacing w:after="80" w:line="276"/>
      </w:pPr>
      <w:r>
        <w:rPr>
          <w:b/>
          <w:bCs/>
          <w:sz w:val="21"/>
          <w:szCs w:val="21"/>
        </w:rPr>
        <w:t xml:space="preserve">1. </w:t>
      </w:r>
      <w:r>
        <w:rPr>
          <w:sz w:val="21"/>
          <w:szCs w:val="21"/>
        </w:rPr>
        <w:t xml:space="preserve">If the weighting adds nothing and the unweighted count filter now clears on its own, where does the contribution sit — and is “merging beats selection, weighting is a flat ablation” a paper?</w:t>
      </w:r>
    </w:p>
    <w:p>
      <w:pPr>
        <w:spacing w:after="80" w:line="276"/>
      </w:pPr>
      <w:r>
        <w:rPr>
          <w:b/>
          <w:bCs/>
          <w:sz w:val="21"/>
          <w:szCs w:val="21"/>
        </w:rPr>
        <w:t xml:space="preserve">2. </w:t>
      </w:r>
      <w:r>
        <w:rPr>
          <w:sz w:val="21"/>
          <w:szCs w:val="21"/>
        </w:rPr>
        <w:t xml:space="preserve">Is the collapse to “consensus OR trust the best model” a publishable negative result about scalar reliability weights, or evidence the method was never doing what we claimed?</w:t>
      </w:r>
    </w:p>
    <w:p>
      <w:pPr>
        <w:spacing w:after="80" w:line="276"/>
      </w:pPr>
      <w:r>
        <w:rPr>
          <w:b/>
          <w:bCs/>
          <w:sz w:val="21"/>
          <w:szCs w:val="21"/>
        </w:rPr>
        <w:t xml:space="preserve">3. </w:t>
      </w:r>
      <w:r>
        <w:rPr>
          <w:sz w:val="21"/>
          <w:szCs w:val="21"/>
        </w:rPr>
        <w:t xml:space="preserve">Is there a second set-valued benchmark with an F1-style metric? Adding a precision term to ASQA would work mechanically but may read as metric-shopping.</w:t>
      </w:r>
    </w:p>
    <w:p>
      <w:pPr>
        <w:spacing w:after="80" w:line="276"/>
      </w:pPr>
      <w:r>
        <w:rPr>
          <w:b/>
          <w:bCs/>
          <w:sz w:val="21"/>
          <w:szCs w:val="21"/>
        </w:rPr>
        <w:t xml:space="preserve">4. </w:t>
      </w:r>
      <w:r>
        <w:rPr>
          <w:sz w:val="21"/>
          <w:szCs w:val="21"/>
        </w:rPr>
        <w:t xml:space="preserve">Does “formally outside the theorem” land as a genuine gap, or as exploiting a definition?</w:t>
      </w:r>
    </w:p>
    <w:p>
      <w:pPr>
        <w:spacing w:after="80" w:line="276"/>
      </w:pPr>
      <w:r>
        <w:rPr>
          <w:b/>
          <w:bCs/>
          <w:sz w:val="21"/>
          <w:szCs w:val="21"/>
        </w:rPr>
        <w:t xml:space="preserve">5. </w:t>
      </w:r>
      <w:r>
        <w:rPr>
          <w:sz w:val="21"/>
          <w:szCs w:val="21"/>
        </w:rPr>
        <w:t xml:space="preserve">Since the rule reduces to identifying the best model, and the EM estimator picks the correct model with zero labels (Spearman +0.975), is label-free </w:t>
      </w:r>
      <w:r>
        <w:rPr>
          <w:i/>
          <w:iCs/>
          <w:sz w:val="21"/>
          <w:szCs w:val="21"/>
        </w:rPr>
        <w:t xml:space="preserve">identification</w:t>
      </w:r>
      <w:r>
        <w:rPr>
          <w:sz w:val="21"/>
          <w:szCs w:val="21"/>
        </w:rPr>
        <w:t xml:space="preserve"> sufficient, or must the weights themselves be label-free?</w:t>
      </w:r>
    </w:p>
    <w:p>
      <w:pPr>
        <w:spacing w:after="80" w:line="276"/>
      </w:pPr>
      <w:r>
        <w:rPr>
          <w:b/>
          <w:bCs/>
          <w:sz w:val="21"/>
          <w:szCs w:val="21"/>
        </w:rPr>
        <w:t xml:space="preserve">6. </w:t>
      </w:r>
      <w:r>
        <w:rPr>
          <w:sz w:val="21"/>
          <w:szCs w:val="21"/>
        </w:rPr>
        <w:t xml:space="preserve">Venue and scope, given one benchmark and a null on the novel component.</w:t>
      </w:r>
    </w:p>
    <w:p>
      <w:pPr>
        <w:pStyle w:val="Heading1"/>
        <w:spacing w:after="140" w:before="280"/>
      </w:pPr>
      <w:r>
        <w:rPr>
          <w:b/>
          <w:bCs/>
          <w:color w:val="1F3864"/>
          <w:sz w:val="30"/>
          <w:szCs w:val="30"/>
        </w:rPr>
        <w:t xml:space="preserve">Appendix — reproduction</w:t>
      </w:r>
    </w:p>
    <w:p>
      <w:pPr>
        <w:spacing w:after="40" w:before="0" w:line="276"/>
      </w:pPr>
      <w:r>
        <w:rPr>
          <w:rFonts w:ascii="Consolas" w:cs="Consolas" w:eastAsia="Consolas" w:hAnsi="Consolas"/>
          <w:sz w:val="18"/>
          <w:szCs w:val="18"/>
        </w:rPr>
        <w:t xml:space="preserve">./venv/bin/python verify_qampari_independent.py     # independent re-derivation, n=198</w:t>
      </w:r>
    </w:p>
    <w:p>
      <w:pPr>
        <w:spacing w:after="40" w:before="0" w:line="276"/>
      </w:pPr>
      <w:r>
        <w:rPr>
          <w:rFonts w:ascii="Consolas" w:cs="Consolas" w:eastAsia="Consolas" w:hAnsi="Consolas"/>
          <w:sz w:val="18"/>
          <w:szCs w:val="18"/>
        </w:rPr>
        <w:t xml:space="preserve">./venv/bin/python compare_methods.py                # method comparison, current n</w:t>
      </w:r>
    </w:p>
    <w:p>
      <w:pPr>
        <w:spacing w:after="40" w:before="0" w:line="276"/>
      </w:pPr>
      <w:r>
        <w:rPr>
          <w:rFonts w:ascii="Consolas" w:cs="Consolas" w:eastAsia="Consolas" w:hAnsi="Consolas"/>
          <w:sz w:val="18"/>
          <w:szCs w:val="18"/>
        </w:rPr>
        <w:t xml:space="preserve">./venv/bin/python compare_methods.py data/qampari_gen.jsonl.n198.bak   # frozen state</w:t>
      </w:r>
    </w:p>
    <w:p>
      <w:pPr>
        <w:spacing w:after="140" w:before="0" w:line="276"/>
      </w:pPr>
      <w:r>
        <w:rPr>
          <w:rFonts w:ascii="Consolas" w:cs="Consolas" w:eastAsia="Consolas" w:hAnsi="Consolas"/>
          <w:sz w:val="18"/>
          <w:szCs w:val="18"/>
        </w:rPr>
        <w:t xml:space="preserve">./venv/bin/python analyze_merge_asqa_fixed.py       # ASQA, exact threshold enumeration</w:t>
      </w:r>
    </w:p>
    <w:p>
      <w:pPr>
        <w:spacing w:after="120" w:before="0" w:line="276"/>
      </w:pPr>
      <w:r>
        <w:rPr>
          <w:sz w:val="19"/>
          <w:szCs w:val="19"/>
        </w:rPr>
        <w:t xml:space="preserve">Environment. Five Azure models: grok-4.3, Kimi-K2.5, Cohere-command-a-plus-05-2026, MAI-Thinking-1, DeepSeek-V4-Flash. Generation toward n=931 was in flight at time of writing (throttled at roughly 3.7 rows/min); the tables above are a snapshot and compare_methods.py gives a current read. Requires the public QAMPARI release for gold answers.</w:t>
      </w:r>
    </w:p>
    <w:p>
      <w:pPr>
        <w:spacing w:after="120" w:before="0" w:line="276"/>
      </w:pPr>
      <w:r>
        <w:rPr>
          <w:i/>
          <w:iCs/>
          <w:sz w:val="19"/>
          <w:szCs w:val="19"/>
        </w:rPr>
        <w:t xml:space="preserve">Caveat carried forward. Five analysis bugs have been found in this project to date, three inflating the method and two suppressing it. The figures above are trusted because the headline was re-derived independently from raw data, the grading contract matches to 0.0000, and the uniform and shuffled controls behave as predicted — not because the code looks correct.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2026-08-18T01:55:30.362Z</dcterms:created>
  <dcterms:modified xsi:type="dcterms:W3CDTF">2026-08-18T01:55:30.372Z</dcterms:modified>
</cp:coreProperties>
</file>

<file path=docProps/custom.xml><?xml version="1.0" encoding="utf-8"?>
<Properties xmlns="http://schemas.openxmlformats.org/officeDocument/2006/custom-properties" xmlns:vt="http://schemas.openxmlformats.org/officeDocument/2006/docPropsVTypes"/>
</file>