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02124"/>
          <w:sz w:val="36"/>
          <w:szCs w:val="36"/>
        </w:rPr>
        <w:t xml:space="preserve">Aggregating Open-Ended LLM Answers</w:t>
      </w:r>
    </w:p>
    <w:p>
      <w:pPr>
        <w:spacing w:after="40"/>
      </w:pPr>
      <w:r>
        <w:rPr>
          <w:color w:val="5F6368"/>
          <w:sz w:val="22"/>
          <w:szCs w:val="22"/>
        </w:rPr>
        <w:t xml:space="preserve">A real-data experiment: 6 models, 3,000 TriviaQA questions, two prompt settings</w:t>
      </w:r>
    </w:p>
    <w:p>
      <w:pPr>
        <w:pBdr>
          <w:bottom w:val="single" w:color="DADCE0" w:sz="6" w:space="6"/>
        </w:pBdr>
        <w:spacing w:after="240"/>
      </w:pPr>
      <w:r>
        <w:rPr>
          <w:i/>
          <w:iCs/>
          <w:color w:val="B3261E"/>
          <w:sz w:val="19"/>
          <w:szCs w:val="19"/>
        </w:rPr>
        <w:t xml:space="preserve">Result: partially negative. The method beats majority voting but never beats the better of its own two components.</w:t>
      </w:r>
    </w:p>
    <w:p>
      <w:pPr>
        <w:pStyle w:val="Heading1"/>
        <w:spacing w:after="140" w:before="320"/>
      </w:pPr>
      <w:r>
        <w:t xml:space="preserve">1. What was being tested</w:t>
      </w:r>
    </w:p>
    <w:p>
      <w:pPr>
        <w:spacing w:after="120" w:line="276"/>
      </w:pPr>
      <w:r>
        <w:rPr>
          <w:sz w:val="21"/>
          <w:szCs w:val="21"/>
        </w:rPr>
        <w:t xml:space="preserve">Ai, Pan, Simchi-Levi, Tambe &amp; Xu (ICML 2026), </w:t>
      </w:r>
      <w:r>
        <w:rPr>
          <w:i/>
          <w:iCs/>
          <w:sz w:val="21"/>
          <w:szCs w:val="21"/>
        </w:rPr>
        <w:t xml:space="preserve">Beyond Majority Voting</w:t>
      </w:r>
      <w:r>
        <w:rPr>
          <w:sz w:val="21"/>
          <w:szCs w:val="21"/>
        </w:rPr>
        <w:t xml:space="preserve"> (arXiv:2510.01499), derive a Bayes-optimal way to combine several LLMs' answers on multiple-choice questions, and close by asking how to extend it to open-ended ones. Their method needs a fixed option set of size K; free-form generation has no K.</w:t>
      </w:r>
    </w:p>
    <w:p>
      <w:pPr>
        <w:spacing w:after="120" w:line="276"/>
      </w:pPr>
      <w:r>
        <w:rPr>
          <w:sz w:val="21"/>
          <w:szCs w:val="21"/>
        </w:rPr>
        <w:t xml:space="preserve">This project proposed replacing their exact-match test with a similarity kernel: score each candidate answer s by the weighted similarity of every model's answer to it.</w:t>
      </w:r>
    </w:p>
    <w:p>
      <w:pPr>
        <w:spacing w:after="50" w:before="50"/>
        <w:ind w:left="360"/>
      </w:pPr>
      <w:r>
        <w:rPr>
          <w:rFonts w:ascii="Menlo" w:cs="Menlo" w:eastAsia="Menlo" w:hAnsi="Menlo"/>
          <w:color w:val="202124"/>
          <w:sz w:val="18"/>
          <w:szCs w:val="18"/>
        </w:rPr>
        <w:t xml:space="preserve">KWA:   pick s maximising   sum_j  beta_j * sim(answer_j, s)</w:t>
      </w:r>
    </w:p>
    <w:p>
      <w:pPr>
        <w:spacing w:after="120" w:line="276"/>
      </w:pPr>
      <w:r>
        <w:rPr>
          <w:sz w:val="21"/>
          <w:szCs w:val="21"/>
        </w:rPr>
        <w:t xml:space="preserve">beta_j is how sharply model j concentrates near the truth, estimated with no labels by EM. Setting sim to exact match recovers their method exactly (verified numerically at 1.0000 for K = 2, 3, 4, 6, 10), so this is a strict generalisation rather than a competitor.</w:t>
      </w:r>
    </w:p>
    <w:p>
      <w:pPr>
        <w:spacing w:after="120" w:line="276"/>
      </w:pPr>
      <w:r>
        <w:rPr>
          <w:sz w:val="21"/>
          <w:szCs w:val="21"/>
        </w:rPr>
        <w:t xml:space="preserve">Prior work in this project was synthetic. This report covers the first test on real multi-model generations.</w:t>
      </w:r>
    </w:p>
    <w:p>
      <w:pPr>
        <w:pStyle w:val="Heading1"/>
        <w:spacing w:after="140" w:before="320"/>
      </w:pPr>
      <w:r>
        <w:t xml:space="preserve">2.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E8F0FE" w:color="auto" w:val="clear"/>
            <w:tcMar>
              <w:top w:type="dxa" w:w="60"/>
              <w:left w:type="dxa" w:w="90"/>
              <w:bottom w:type="dxa" w:w="60"/>
              <w:right w:type="dxa" w:w="90"/>
            </w:tcMar>
          </w:tcPr>
          <w:p>
            <w:pPr>
              <w:spacing w:after="0"/>
              <w:jc w:val="left"/>
            </w:pPr>
            <w:r>
              <w:rPr>
                <w:b/>
                <w:bCs/>
                <w:sz w:val="19"/>
                <w:szCs w:val="19"/>
              </w:rPr>
              <w:t xml:space="preserve"/>
            </w:r>
          </w:p>
        </w:tc>
        <w:tc>
          <w:tcPr>
            <w:tcW w:type="dxa" w:w="7460"/>
            <w:shd w:fill="E8F0FE" w:color="auto" w:val="clear"/>
            <w:tcMar>
              <w:top w:type="dxa" w:w="60"/>
              <w:left w:type="dxa" w:w="90"/>
              <w:bottom w:type="dxa" w:w="60"/>
              <w:right w:type="dxa" w:w="90"/>
            </w:tcMar>
          </w:tcPr>
          <w:p>
            <w:pPr>
              <w:spacing w:after="0"/>
              <w:jc w:val="center"/>
            </w:pPr>
            <w:r>
              <w:rPr>
                <w:b/>
                <w:bCs/>
                <w:sz w:val="19"/>
                <w:szCs w:val="19"/>
              </w:rPr>
              <w:t xml:space="preserve"/>
            </w:r>
          </w:p>
        </w:tc>
      </w:tr>
      <w:tr>
        <w:tc>
          <w:tcPr>
            <w:tcW w:type="dxa" w:w="1900"/>
            <w:tcMar>
              <w:top w:type="dxa" w:w="60"/>
              <w:left w:type="dxa" w:w="90"/>
              <w:bottom w:type="dxa" w:w="60"/>
              <w:right w:type="dxa" w:w="90"/>
            </w:tcMar>
          </w:tcPr>
          <w:p>
            <w:pPr>
              <w:spacing w:after="0"/>
              <w:jc w:val="left"/>
            </w:pPr>
            <w:r>
              <w:rPr>
                <w:b w:val="false"/>
                <w:bCs w:val="false"/>
                <w:sz w:val="19"/>
                <w:szCs w:val="19"/>
              </w:rPr>
              <w:t xml:space="preserve">Benchmark</w:t>
            </w:r>
          </w:p>
        </w:tc>
        <w:tc>
          <w:tcPr>
            <w:tcW w:type="dxa" w:w="7460"/>
            <w:tcMar>
              <w:top w:type="dxa" w:w="60"/>
              <w:left w:type="dxa" w:w="90"/>
              <w:bottom w:type="dxa" w:w="60"/>
              <w:right w:type="dxa" w:w="90"/>
            </w:tcMar>
          </w:tcPr>
          <w:p>
            <w:pPr>
              <w:spacing w:after="0"/>
              <w:jc w:val="center"/>
            </w:pPr>
            <w:r>
              <w:rPr>
                <w:b w:val="false"/>
                <w:bCs w:val="false"/>
                <w:sz w:val="19"/>
                <w:szCs w:val="19"/>
              </w:rPr>
              <w:t xml:space="preserve">TriviaQA rc.nocontext, 3,000 questions sampled from validation</w:t>
            </w:r>
          </w:p>
        </w:tc>
      </w:tr>
      <w:tr>
        <w:tc>
          <w:tcPr>
            <w:tcW w:type="dxa" w:w="1900"/>
            <w:shd w:fill="F8F9FA" w:color="auto" w:val="clear"/>
            <w:tcMar>
              <w:top w:type="dxa" w:w="60"/>
              <w:left w:type="dxa" w:w="90"/>
              <w:bottom w:type="dxa" w:w="60"/>
              <w:right w:type="dxa" w:w="90"/>
            </w:tcMar>
          </w:tcPr>
          <w:p>
            <w:pPr>
              <w:spacing w:after="0"/>
              <w:jc w:val="left"/>
            </w:pPr>
            <w:r>
              <w:rPr>
                <w:b w:val="false"/>
                <w:bCs w:val="false"/>
                <w:sz w:val="19"/>
                <w:szCs w:val="19"/>
              </w:rPr>
              <w:t xml:space="preserve">Why this one</w:t>
            </w:r>
          </w:p>
        </w:tc>
        <w:tc>
          <w:tcPr>
            <w:tcW w:type="dxa" w:w="7460"/>
            <w:shd w:fill="F8F9FA" w:color="auto" w:val="clear"/>
            <w:tcMar>
              <w:top w:type="dxa" w:w="60"/>
              <w:left w:type="dxa" w:w="90"/>
              <w:bottom w:type="dxa" w:w="60"/>
              <w:right w:type="dxa" w:w="90"/>
            </w:tcMar>
          </w:tcPr>
          <w:p>
            <w:pPr>
              <w:spacing w:after="0"/>
              <w:jc w:val="center"/>
            </w:pPr>
            <w:r>
              <w:rPr>
                <w:b w:val="false"/>
                <w:bCs w:val="false"/>
                <w:sz w:val="19"/>
                <w:szCs w:val="19"/>
              </w:rPr>
              <w:t xml:space="preserve">genuinely free-form (no options offered), and ships official answer alias lists so grading is automatic string matching — no judge model, no judge cost, no judge noise</w:t>
            </w:r>
          </w:p>
        </w:tc>
      </w:tr>
      <w:tr>
        <w:tc>
          <w:tcPr>
            <w:tcW w:type="dxa" w:w="1900"/>
            <w:tcMar>
              <w:top w:type="dxa" w:w="60"/>
              <w:left w:type="dxa" w:w="90"/>
              <w:bottom w:type="dxa" w:w="60"/>
              <w:right w:type="dxa" w:w="90"/>
            </w:tcMar>
          </w:tcPr>
          <w:p>
            <w:pPr>
              <w:spacing w:after="0"/>
              <w:jc w:val="left"/>
            </w:pPr>
            <w:r>
              <w:rPr>
                <w:b w:val="false"/>
                <w:bCs w:val="false"/>
                <w:sz w:val="19"/>
                <w:szCs w:val="19"/>
              </w:rPr>
              <w:t xml:space="preserve">Models</w:t>
            </w:r>
          </w:p>
        </w:tc>
        <w:tc>
          <w:tcPr>
            <w:tcW w:type="dxa" w:w="7460"/>
            <w:tcMar>
              <w:top w:type="dxa" w:w="60"/>
              <w:left w:type="dxa" w:w="90"/>
              <w:bottom w:type="dxa" w:w="60"/>
              <w:right w:type="dxa" w:w="90"/>
            </w:tcMar>
          </w:tcPr>
          <w:p>
            <w:pPr>
              <w:spacing w:after="0"/>
              <w:jc w:val="center"/>
            </w:pPr>
            <w:r>
              <w:rPr>
                <w:b w:val="false"/>
                <w:bCs w:val="false"/>
                <w:sz w:val="19"/>
                <w:szCs w:val="19"/>
              </w:rPr>
              <w:t xml:space="preserve">llama-3.3-70b · gpt-4o-mini · phi-4 · gemma-3-12b · llama-3.1-8b · llama-3.2-3b</w:t>
            </w:r>
          </w:p>
        </w:tc>
      </w:tr>
      <w:tr>
        <w:tc>
          <w:tcPr>
            <w:tcW w:type="dxa" w:w="1900"/>
            <w:shd w:fill="F8F9FA" w:color="auto" w:val="clear"/>
            <w:tcMar>
              <w:top w:type="dxa" w:w="60"/>
              <w:left w:type="dxa" w:w="90"/>
              <w:bottom w:type="dxa" w:w="60"/>
              <w:right w:type="dxa" w:w="90"/>
            </w:tcMar>
          </w:tcPr>
          <w:p>
            <w:pPr>
              <w:spacing w:after="0"/>
              <w:jc w:val="left"/>
            </w:pPr>
            <w:r>
              <w:rPr>
                <w:b w:val="false"/>
                <w:bCs w:val="false"/>
                <w:sz w:val="19"/>
                <w:szCs w:val="19"/>
              </w:rPr>
              <w:t xml:space="preserve">Why these</w:t>
            </w:r>
          </w:p>
        </w:tc>
        <w:tc>
          <w:tcPr>
            <w:tcW w:type="dxa" w:w="7460"/>
            <w:shd w:fill="F8F9FA" w:color="auto" w:val="clear"/>
            <w:tcMar>
              <w:top w:type="dxa" w:w="60"/>
              <w:left w:type="dxa" w:w="90"/>
              <w:bottom w:type="dxa" w:w="60"/>
              <w:right w:type="dxa" w:w="90"/>
            </w:tcMar>
          </w:tcPr>
          <w:p>
            <w:pPr>
              <w:spacing w:after="0"/>
              <w:jc w:val="center"/>
            </w:pPr>
            <w:r>
              <w:rPr>
                <w:b w:val="false"/>
                <w:bCs w:val="false"/>
                <w:sz w:val="19"/>
                <w:szCs w:val="19"/>
              </w:rPr>
              <w:t xml:space="preserve">a deliberate skill spread (the theory says aggregation only helps when models differ), four families, three of them Llamas so same-family correlation is measurable</w:t>
            </w:r>
          </w:p>
        </w:tc>
      </w:tr>
      <w:tr>
        <w:tc>
          <w:tcPr>
            <w:tcW w:type="dxa" w:w="1900"/>
            <w:tcMar>
              <w:top w:type="dxa" w:w="60"/>
              <w:left w:type="dxa" w:w="90"/>
              <w:bottom w:type="dxa" w:w="60"/>
              <w:right w:type="dxa" w:w="90"/>
            </w:tcMar>
          </w:tcPr>
          <w:p>
            <w:pPr>
              <w:spacing w:after="0"/>
              <w:jc w:val="left"/>
            </w:pPr>
            <w:r>
              <w:rPr>
                <w:b w:val="false"/>
                <w:bCs w:val="false"/>
                <w:sz w:val="19"/>
                <w:szCs w:val="19"/>
              </w:rPr>
              <w:t xml:space="preserve">Conditions</w:t>
            </w:r>
          </w:p>
        </w:tc>
        <w:tc>
          <w:tcPr>
            <w:tcW w:type="dxa" w:w="7460"/>
            <w:tcMar>
              <w:top w:type="dxa" w:w="60"/>
              <w:left w:type="dxa" w:w="90"/>
              <w:bottom w:type="dxa" w:w="60"/>
              <w:right w:type="dxa" w:w="90"/>
            </w:tcMar>
          </w:tcPr>
          <w:p>
            <w:pPr>
              <w:spacing w:after="0"/>
              <w:jc w:val="center"/>
            </w:pPr>
            <w:r>
              <w:rPr>
                <w:b w:val="false"/>
                <w:bCs w:val="false"/>
                <w:sz w:val="19"/>
                <w:szCs w:val="19"/>
              </w:rPr>
              <w:t xml:space="preserve">short-answer (“just the answer”) and full-sentence (“answer the question”)</w:t>
            </w:r>
          </w:p>
        </w:tc>
      </w:tr>
      <w:tr>
        <w:tc>
          <w:tcPr>
            <w:tcW w:type="dxa" w:w="1900"/>
            <w:shd w:fill="F8F9FA" w:color="auto" w:val="clear"/>
            <w:tcMar>
              <w:top w:type="dxa" w:w="60"/>
              <w:left w:type="dxa" w:w="90"/>
              <w:bottom w:type="dxa" w:w="60"/>
              <w:right w:type="dxa" w:w="90"/>
            </w:tcMar>
          </w:tcPr>
          <w:p>
            <w:pPr>
              <w:spacing w:after="0"/>
              <w:jc w:val="left"/>
            </w:pPr>
            <w:r>
              <w:rPr>
                <w:b w:val="false"/>
                <w:bCs w:val="false"/>
                <w:sz w:val="19"/>
                <w:szCs w:val="19"/>
              </w:rPr>
              <w:t xml:space="preserve">Decoding</w:t>
            </w:r>
          </w:p>
        </w:tc>
        <w:tc>
          <w:tcPr>
            <w:tcW w:type="dxa" w:w="7460"/>
            <w:shd w:fill="F8F9FA" w:color="auto" w:val="clear"/>
            <w:tcMar>
              <w:top w:type="dxa" w:w="60"/>
              <w:left w:type="dxa" w:w="90"/>
              <w:bottom w:type="dxa" w:w="60"/>
              <w:right w:type="dxa" w:w="90"/>
            </w:tcMar>
          </w:tcPr>
          <w:p>
            <w:pPr>
              <w:spacing w:after="0"/>
              <w:jc w:val="center"/>
            </w:pPr>
            <w:r>
              <w:rPr>
                <w:b w:val="false"/>
                <w:bCs w:val="false"/>
                <w:sz w:val="19"/>
                <w:szCs w:val="19"/>
              </w:rPr>
              <w:t xml:space="preserve">temperature 0 — each model's characteristic answer, not sampling noise</w:t>
            </w:r>
          </w:p>
        </w:tc>
      </w:tr>
      <w:tr>
        <w:tc>
          <w:tcPr>
            <w:tcW w:type="dxa" w:w="1900"/>
            <w:tcMar>
              <w:top w:type="dxa" w:w="60"/>
              <w:left w:type="dxa" w:w="90"/>
              <w:bottom w:type="dxa" w:w="60"/>
              <w:right w:type="dxa" w:w="90"/>
            </w:tcMar>
          </w:tcPr>
          <w:p>
            <w:pPr>
              <w:spacing w:after="0"/>
              <w:jc w:val="left"/>
            </w:pPr>
            <w:r>
              <w:rPr>
                <w:b w:val="false"/>
                <w:bCs w:val="false"/>
                <w:sz w:val="19"/>
                <w:szCs w:val="19"/>
              </w:rPr>
              <w:t xml:space="preserve">Scale / cost</w:t>
            </w:r>
          </w:p>
        </w:tc>
        <w:tc>
          <w:tcPr>
            <w:tcW w:type="dxa" w:w="7460"/>
            <w:tcMar>
              <w:top w:type="dxa" w:w="60"/>
              <w:left w:type="dxa" w:w="90"/>
              <w:bottom w:type="dxa" w:w="60"/>
              <w:right w:type="dxa" w:w="90"/>
            </w:tcMar>
          </w:tcPr>
          <w:p>
            <w:pPr>
              <w:spacing w:after="0"/>
              <w:jc w:val="center"/>
            </w:pPr>
            <w:r>
              <w:rPr>
                <w:b w:val="false"/>
                <w:bCs w:val="false"/>
                <w:sz w:val="19"/>
                <w:szCs w:val="19"/>
              </w:rPr>
              <w:t xml:space="preserve">36,000 generations, $0.32 total, zero API errors</w:t>
            </w:r>
          </w:p>
        </w:tc>
      </w:tr>
      <w:tr>
        <w:tc>
          <w:tcPr>
            <w:tcW w:type="dxa" w:w="1900"/>
            <w:shd w:fill="F8F9FA" w:color="auto" w:val="clear"/>
            <w:tcMar>
              <w:top w:type="dxa" w:w="60"/>
              <w:left w:type="dxa" w:w="90"/>
              <w:bottom w:type="dxa" w:w="60"/>
              <w:right w:type="dxa" w:w="90"/>
            </w:tcMar>
          </w:tcPr>
          <w:p>
            <w:pPr>
              <w:spacing w:after="0"/>
              <w:jc w:val="left"/>
            </w:pPr>
            <w:r>
              <w:rPr>
                <w:b w:val="false"/>
                <w:bCs w:val="false"/>
                <w:sz w:val="19"/>
                <w:szCs w:val="19"/>
              </w:rPr>
              <w:t xml:space="preserve">Scored</w:t>
            </w:r>
          </w:p>
        </w:tc>
        <w:tc>
          <w:tcPr>
            <w:tcW w:type="dxa" w:w="7460"/>
            <w:shd w:fill="F8F9FA" w:color="auto" w:val="clear"/>
            <w:tcMar>
              <w:top w:type="dxa" w:w="60"/>
              <w:left w:type="dxa" w:w="90"/>
              <w:bottom w:type="dxa" w:w="60"/>
              <w:right w:type="dxa" w:w="90"/>
            </w:tcMar>
          </w:tcPr>
          <w:p>
            <w:pPr>
              <w:spacing w:after="0"/>
              <w:jc w:val="center"/>
            </w:pPr>
            <w:r>
              <w:rPr>
                <w:b w:val="false"/>
                <w:bCs w:val="false"/>
                <w:sz w:val="19"/>
                <w:szCs w:val="19"/>
              </w:rPr>
              <w:t xml:space="preserve">n = 2,757 questions with a complete response set from all 6 models</w:t>
            </w:r>
          </w:p>
        </w:tc>
      </w:tr>
    </w:tbl>
    <w:p>
      <w:pPr>
        <w:spacing w:after="100" w:line="276"/>
      </w:pPr>
      <w:r>
        <w:rPr>
          <w:sz w:val="21"/>
          <w:szCs w:val="21"/>
        </w:rPr>
        <w:t xml:space="preserve"/>
      </w:r>
    </w:p>
    <w:p>
      <w:pPr>
        <w:spacing w:after="120" w:line="276"/>
      </w:pPr>
      <w:r>
        <w:rPr>
          <w:sz w:val="21"/>
          <w:szCs w:val="21"/>
        </w:rPr>
        <w:t xml:space="preserve">Two prompt settings were run as a controlled test of the proposed mechanism. The short-answer prompt pushes models onto the same string (2.6 distinct answers per question); the full-sentence prompt lets them phrase freely (5.3 distinct, with all six matching on only 0.3% of questions). Since the kernel's claimed advantage is pooling surface variants, its benefit should be larger under full-sentence answers. That prediction was made before the data was seen.</w:t>
      </w:r>
    </w:p>
    <w:p>
      <w:pPr>
        <w:spacing w:after="120" w:line="276"/>
      </w:pPr>
      <w:r>
        <w:rPr>
          <w:sz w:val="21"/>
          <w:szCs w:val="21"/>
        </w:rPr>
        <w:t xml:space="preserve">Measured single-model accuracy on the scored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rPr>
          <w:tblHeader/>
        </w:trPr>
        <w:tc>
          <w:tcPr>
            <w:tcW w:type="dxa" w:w="5360"/>
            <w:shd w:fill="E8F0FE" w:color="auto" w:val="clear"/>
            <w:tcMar>
              <w:top w:type="dxa" w:w="60"/>
              <w:left w:type="dxa" w:w="90"/>
              <w:bottom w:type="dxa" w:w="60"/>
              <w:right w:type="dxa" w:w="90"/>
            </w:tcMar>
          </w:tcPr>
          <w:p>
            <w:pPr>
              <w:spacing w:after="0"/>
              <w:jc w:val="left"/>
            </w:pPr>
            <w:r>
              <w:rPr>
                <w:b/>
                <w:bCs/>
                <w:sz w:val="19"/>
                <w:szCs w:val="19"/>
              </w:rPr>
              <w:t xml:space="preserve">model</w:t>
            </w:r>
          </w:p>
        </w:tc>
        <w:tc>
          <w:tcPr>
            <w:tcW w:type="dxa" w:w="2000"/>
            <w:shd w:fill="E8F0FE" w:color="auto" w:val="clear"/>
            <w:tcMar>
              <w:top w:type="dxa" w:w="60"/>
              <w:left w:type="dxa" w:w="90"/>
              <w:bottom w:type="dxa" w:w="60"/>
              <w:right w:type="dxa" w:w="90"/>
            </w:tcMar>
          </w:tcPr>
          <w:p>
            <w:pPr>
              <w:spacing w:after="0"/>
              <w:jc w:val="center"/>
            </w:pPr>
            <w:r>
              <w:rPr>
                <w:b/>
                <w:bCs/>
                <w:sz w:val="19"/>
                <w:szCs w:val="19"/>
              </w:rPr>
              <w:t xml:space="preserve">short-answer</w:t>
            </w:r>
          </w:p>
        </w:tc>
        <w:tc>
          <w:tcPr>
            <w:tcW w:type="dxa" w:w="2000"/>
            <w:shd w:fill="E8F0FE" w:color="auto" w:val="clear"/>
            <w:tcMar>
              <w:top w:type="dxa" w:w="60"/>
              <w:left w:type="dxa" w:w="90"/>
              <w:bottom w:type="dxa" w:w="60"/>
              <w:right w:type="dxa" w:w="90"/>
            </w:tcMar>
          </w:tcPr>
          <w:p>
            <w:pPr>
              <w:spacing w:after="0"/>
              <w:jc w:val="center"/>
            </w:pPr>
            <w:r>
              <w:rPr>
                <w:b/>
                <w:bCs/>
                <w:sz w:val="19"/>
                <w:szCs w:val="19"/>
              </w:rPr>
              <w:t xml:space="preserve">full-sentence</w:t>
            </w:r>
          </w:p>
        </w:tc>
      </w:tr>
      <w:tr>
        <w:tc>
          <w:tcPr>
            <w:tcW w:type="dxa" w:w="5360"/>
            <w:tcMar>
              <w:top w:type="dxa" w:w="60"/>
              <w:left w:type="dxa" w:w="90"/>
              <w:bottom w:type="dxa" w:w="60"/>
              <w:right w:type="dxa" w:w="90"/>
            </w:tcMar>
          </w:tcPr>
          <w:p>
            <w:pPr>
              <w:spacing w:after="0"/>
              <w:jc w:val="left"/>
            </w:pPr>
            <w:r>
              <w:rPr>
                <w:b w:val="false"/>
                <w:bCs w:val="false"/>
                <w:sz w:val="19"/>
                <w:szCs w:val="19"/>
              </w:rPr>
              <w:t xml:space="preserve">meta-llama/llama-3.3-70b-instruct</w:t>
            </w:r>
          </w:p>
        </w:tc>
        <w:tc>
          <w:tcPr>
            <w:tcW w:type="dxa" w:w="2000"/>
            <w:tcMar>
              <w:top w:type="dxa" w:w="60"/>
              <w:left w:type="dxa" w:w="90"/>
              <w:bottom w:type="dxa" w:w="60"/>
              <w:right w:type="dxa" w:w="90"/>
            </w:tcMar>
          </w:tcPr>
          <w:p>
            <w:pPr>
              <w:spacing w:after="0"/>
              <w:jc w:val="center"/>
            </w:pPr>
            <w:r>
              <w:rPr>
                <w:b w:val="false"/>
                <w:bCs w:val="false"/>
                <w:sz w:val="19"/>
                <w:szCs w:val="19"/>
              </w:rPr>
              <w:t xml:space="preserve">86.3%</w:t>
            </w:r>
          </w:p>
        </w:tc>
        <w:tc>
          <w:tcPr>
            <w:tcW w:type="dxa" w:w="2000"/>
            <w:tcMar>
              <w:top w:type="dxa" w:w="60"/>
              <w:left w:type="dxa" w:w="90"/>
              <w:bottom w:type="dxa" w:w="60"/>
              <w:right w:type="dxa" w:w="90"/>
            </w:tcMar>
          </w:tcPr>
          <w:p>
            <w:pPr>
              <w:spacing w:after="0"/>
              <w:jc w:val="center"/>
            </w:pPr>
            <w:r>
              <w:rPr>
                <w:b w:val="false"/>
                <w:bCs w:val="false"/>
                <w:sz w:val="19"/>
                <w:szCs w:val="19"/>
              </w:rPr>
              <w:t xml:space="preserve">90.2%</w:t>
            </w:r>
          </w:p>
        </w:tc>
      </w:tr>
      <w:tr>
        <w:tc>
          <w:tcPr>
            <w:tcW w:type="dxa" w:w="5360"/>
            <w:shd w:fill="F8F9FA" w:color="auto" w:val="clear"/>
            <w:tcMar>
              <w:top w:type="dxa" w:w="60"/>
              <w:left w:type="dxa" w:w="90"/>
              <w:bottom w:type="dxa" w:w="60"/>
              <w:right w:type="dxa" w:w="90"/>
            </w:tcMar>
          </w:tcPr>
          <w:p>
            <w:pPr>
              <w:spacing w:after="0"/>
              <w:jc w:val="left"/>
            </w:pPr>
            <w:r>
              <w:rPr>
                <w:b w:val="false"/>
                <w:bCs w:val="false"/>
                <w:sz w:val="19"/>
                <w:szCs w:val="19"/>
              </w:rPr>
              <w:t xml:space="preserve">openai/gpt-4o-mini</w:t>
            </w:r>
          </w:p>
        </w:tc>
        <w:tc>
          <w:tcPr>
            <w:tcW w:type="dxa" w:w="2000"/>
            <w:shd w:fill="F8F9FA" w:color="auto" w:val="clear"/>
            <w:tcMar>
              <w:top w:type="dxa" w:w="60"/>
              <w:left w:type="dxa" w:w="90"/>
              <w:bottom w:type="dxa" w:w="60"/>
              <w:right w:type="dxa" w:w="90"/>
            </w:tcMar>
          </w:tcPr>
          <w:p>
            <w:pPr>
              <w:spacing w:after="0"/>
              <w:jc w:val="center"/>
            </w:pPr>
            <w:r>
              <w:rPr>
                <w:b w:val="false"/>
                <w:bCs w:val="false"/>
                <w:sz w:val="19"/>
                <w:szCs w:val="19"/>
              </w:rPr>
              <w:t xml:space="preserve">81.9%</w:t>
            </w:r>
          </w:p>
        </w:tc>
        <w:tc>
          <w:tcPr>
            <w:tcW w:type="dxa" w:w="2000"/>
            <w:shd w:fill="F8F9FA" w:color="auto" w:val="clear"/>
            <w:tcMar>
              <w:top w:type="dxa" w:w="60"/>
              <w:left w:type="dxa" w:w="90"/>
              <w:bottom w:type="dxa" w:w="60"/>
              <w:right w:type="dxa" w:w="90"/>
            </w:tcMar>
          </w:tcPr>
          <w:p>
            <w:pPr>
              <w:spacing w:after="0"/>
              <w:jc w:val="center"/>
            </w:pPr>
            <w:r>
              <w:rPr>
                <w:b w:val="false"/>
                <w:bCs w:val="false"/>
                <w:sz w:val="19"/>
                <w:szCs w:val="19"/>
              </w:rPr>
              <w:t xml:space="preserve">85.4%</w:t>
            </w:r>
          </w:p>
        </w:tc>
      </w:tr>
      <w:tr>
        <w:tc>
          <w:tcPr>
            <w:tcW w:type="dxa" w:w="5360"/>
            <w:tcMar>
              <w:top w:type="dxa" w:w="60"/>
              <w:left w:type="dxa" w:w="90"/>
              <w:bottom w:type="dxa" w:w="60"/>
              <w:right w:type="dxa" w:w="90"/>
            </w:tcMar>
          </w:tcPr>
          <w:p>
            <w:pPr>
              <w:spacing w:after="0"/>
              <w:jc w:val="left"/>
            </w:pPr>
            <w:r>
              <w:rPr>
                <w:b w:val="false"/>
                <w:bCs w:val="false"/>
                <w:sz w:val="19"/>
                <w:szCs w:val="19"/>
              </w:rPr>
              <w:t xml:space="preserve">microsoft/phi-4</w:t>
            </w:r>
          </w:p>
        </w:tc>
        <w:tc>
          <w:tcPr>
            <w:tcW w:type="dxa" w:w="2000"/>
            <w:tcMar>
              <w:top w:type="dxa" w:w="60"/>
              <w:left w:type="dxa" w:w="90"/>
              <w:bottom w:type="dxa" w:w="60"/>
              <w:right w:type="dxa" w:w="90"/>
            </w:tcMar>
          </w:tcPr>
          <w:p>
            <w:pPr>
              <w:spacing w:after="0"/>
              <w:jc w:val="center"/>
            </w:pPr>
            <w:r>
              <w:rPr>
                <w:b w:val="false"/>
                <w:bCs w:val="false"/>
                <w:sz w:val="19"/>
                <w:szCs w:val="19"/>
              </w:rPr>
              <w:t xml:space="preserve">65.7%</w:t>
            </w:r>
          </w:p>
        </w:tc>
        <w:tc>
          <w:tcPr>
            <w:tcW w:type="dxa" w:w="2000"/>
            <w:tcMar>
              <w:top w:type="dxa" w:w="60"/>
              <w:left w:type="dxa" w:w="90"/>
              <w:bottom w:type="dxa" w:w="60"/>
              <w:right w:type="dxa" w:w="90"/>
            </w:tcMar>
          </w:tcPr>
          <w:p>
            <w:pPr>
              <w:spacing w:after="0"/>
              <w:jc w:val="center"/>
            </w:pPr>
            <w:r>
              <w:rPr>
                <w:b w:val="false"/>
                <w:bCs w:val="false"/>
                <w:sz w:val="19"/>
                <w:szCs w:val="19"/>
              </w:rPr>
              <w:t xml:space="preserve">76.9%</w:t>
            </w:r>
          </w:p>
        </w:tc>
      </w:tr>
      <w:tr>
        <w:tc>
          <w:tcPr>
            <w:tcW w:type="dxa" w:w="5360"/>
            <w:shd w:fill="F8F9FA" w:color="auto" w:val="clear"/>
            <w:tcMar>
              <w:top w:type="dxa" w:w="60"/>
              <w:left w:type="dxa" w:w="90"/>
              <w:bottom w:type="dxa" w:w="60"/>
              <w:right w:type="dxa" w:w="90"/>
            </w:tcMar>
          </w:tcPr>
          <w:p>
            <w:pPr>
              <w:spacing w:after="0"/>
              <w:jc w:val="left"/>
            </w:pPr>
            <w:r>
              <w:rPr>
                <w:b w:val="false"/>
                <w:bCs w:val="false"/>
                <w:sz w:val="19"/>
                <w:szCs w:val="19"/>
              </w:rPr>
              <w:t xml:space="preserve">google/gemma-3-12b-it</w:t>
            </w:r>
          </w:p>
        </w:tc>
        <w:tc>
          <w:tcPr>
            <w:tcW w:type="dxa" w:w="2000"/>
            <w:shd w:fill="F8F9FA" w:color="auto" w:val="clear"/>
            <w:tcMar>
              <w:top w:type="dxa" w:w="60"/>
              <w:left w:type="dxa" w:w="90"/>
              <w:bottom w:type="dxa" w:w="60"/>
              <w:right w:type="dxa" w:w="90"/>
            </w:tcMar>
          </w:tcPr>
          <w:p>
            <w:pPr>
              <w:spacing w:after="0"/>
              <w:jc w:val="center"/>
            </w:pPr>
            <w:r>
              <w:rPr>
                <w:b w:val="false"/>
                <w:bCs w:val="false"/>
                <w:sz w:val="19"/>
                <w:szCs w:val="19"/>
              </w:rPr>
              <w:t xml:space="preserve">71.6%</w:t>
            </w:r>
          </w:p>
        </w:tc>
        <w:tc>
          <w:tcPr>
            <w:tcW w:type="dxa" w:w="2000"/>
            <w:shd w:fill="F8F9FA" w:color="auto" w:val="clear"/>
            <w:tcMar>
              <w:top w:type="dxa" w:w="60"/>
              <w:left w:type="dxa" w:w="90"/>
              <w:bottom w:type="dxa" w:w="60"/>
              <w:right w:type="dxa" w:w="90"/>
            </w:tcMar>
          </w:tcPr>
          <w:p>
            <w:pPr>
              <w:spacing w:after="0"/>
              <w:jc w:val="center"/>
            </w:pPr>
            <w:r>
              <w:rPr>
                <w:b w:val="false"/>
                <w:bCs w:val="false"/>
                <w:sz w:val="19"/>
                <w:szCs w:val="19"/>
              </w:rPr>
              <w:t xml:space="preserve">76.3%</w:t>
            </w:r>
          </w:p>
        </w:tc>
      </w:tr>
      <w:tr>
        <w:tc>
          <w:tcPr>
            <w:tcW w:type="dxa" w:w="5360"/>
            <w:tcMar>
              <w:top w:type="dxa" w:w="60"/>
              <w:left w:type="dxa" w:w="90"/>
              <w:bottom w:type="dxa" w:w="60"/>
              <w:right w:type="dxa" w:w="90"/>
            </w:tcMar>
          </w:tcPr>
          <w:p>
            <w:pPr>
              <w:spacing w:after="0"/>
              <w:jc w:val="left"/>
            </w:pPr>
            <w:r>
              <w:rPr>
                <w:b w:val="false"/>
                <w:bCs w:val="false"/>
                <w:sz w:val="19"/>
                <w:szCs w:val="19"/>
              </w:rPr>
              <w:t xml:space="preserve">meta-llama/llama-3.1-8b-instruct</w:t>
            </w:r>
          </w:p>
        </w:tc>
        <w:tc>
          <w:tcPr>
            <w:tcW w:type="dxa" w:w="2000"/>
            <w:tcMar>
              <w:top w:type="dxa" w:w="60"/>
              <w:left w:type="dxa" w:w="90"/>
              <w:bottom w:type="dxa" w:w="60"/>
              <w:right w:type="dxa" w:w="90"/>
            </w:tcMar>
          </w:tcPr>
          <w:p>
            <w:pPr>
              <w:spacing w:after="0"/>
              <w:jc w:val="center"/>
            </w:pPr>
            <w:r>
              <w:rPr>
                <w:b w:val="false"/>
                <w:bCs w:val="false"/>
                <w:sz w:val="19"/>
                <w:szCs w:val="19"/>
              </w:rPr>
              <w:t xml:space="preserve">68.6%</w:t>
            </w:r>
          </w:p>
        </w:tc>
        <w:tc>
          <w:tcPr>
            <w:tcW w:type="dxa" w:w="2000"/>
            <w:tcMar>
              <w:top w:type="dxa" w:w="60"/>
              <w:left w:type="dxa" w:w="90"/>
              <w:bottom w:type="dxa" w:w="60"/>
              <w:right w:type="dxa" w:w="90"/>
            </w:tcMar>
          </w:tcPr>
          <w:p>
            <w:pPr>
              <w:spacing w:after="0"/>
              <w:jc w:val="center"/>
            </w:pPr>
            <w:r>
              <w:rPr>
                <w:b w:val="false"/>
                <w:bCs w:val="false"/>
                <w:sz w:val="19"/>
                <w:szCs w:val="19"/>
              </w:rPr>
              <w:t xml:space="preserve">74.5%</w:t>
            </w:r>
          </w:p>
        </w:tc>
      </w:tr>
      <w:tr>
        <w:tc>
          <w:tcPr>
            <w:tcW w:type="dxa" w:w="5360"/>
            <w:shd w:fill="F8F9FA" w:color="auto" w:val="clear"/>
            <w:tcMar>
              <w:top w:type="dxa" w:w="60"/>
              <w:left w:type="dxa" w:w="90"/>
              <w:bottom w:type="dxa" w:w="60"/>
              <w:right w:type="dxa" w:w="90"/>
            </w:tcMar>
          </w:tcPr>
          <w:p>
            <w:pPr>
              <w:spacing w:after="0"/>
              <w:jc w:val="left"/>
            </w:pPr>
            <w:r>
              <w:rPr>
                <w:b w:val="false"/>
                <w:bCs w:val="false"/>
                <w:sz w:val="19"/>
                <w:szCs w:val="19"/>
              </w:rPr>
              <w:t xml:space="preserve">meta-llama/llama-3.2-3b-instruct</w:t>
            </w:r>
          </w:p>
        </w:tc>
        <w:tc>
          <w:tcPr>
            <w:tcW w:type="dxa" w:w="2000"/>
            <w:shd w:fill="F8F9FA" w:color="auto" w:val="clear"/>
            <w:tcMar>
              <w:top w:type="dxa" w:w="60"/>
              <w:left w:type="dxa" w:w="90"/>
              <w:bottom w:type="dxa" w:w="60"/>
              <w:right w:type="dxa" w:w="90"/>
            </w:tcMar>
          </w:tcPr>
          <w:p>
            <w:pPr>
              <w:spacing w:after="0"/>
              <w:jc w:val="center"/>
            </w:pPr>
            <w:r>
              <w:rPr>
                <w:b w:val="false"/>
                <w:bCs w:val="false"/>
                <w:sz w:val="19"/>
                <w:szCs w:val="19"/>
              </w:rPr>
              <w:t xml:space="preserve">56.8%</w:t>
            </w:r>
          </w:p>
        </w:tc>
        <w:tc>
          <w:tcPr>
            <w:tcW w:type="dxa" w:w="2000"/>
            <w:shd w:fill="F8F9FA" w:color="auto" w:val="clear"/>
            <w:tcMar>
              <w:top w:type="dxa" w:w="60"/>
              <w:left w:type="dxa" w:w="90"/>
              <w:bottom w:type="dxa" w:w="60"/>
              <w:right w:type="dxa" w:w="90"/>
            </w:tcMar>
          </w:tcPr>
          <w:p>
            <w:pPr>
              <w:spacing w:after="0"/>
              <w:jc w:val="center"/>
            </w:pPr>
            <w:r>
              <w:rPr>
                <w:b w:val="false"/>
                <w:bCs w:val="false"/>
                <w:sz w:val="19"/>
                <w:szCs w:val="19"/>
              </w:rPr>
              <w:t xml:space="preserve">55.8%</w:t>
            </w:r>
          </w:p>
        </w:tc>
      </w:tr>
    </w:tbl>
    <w:p>
      <w:pPr>
        <w:pStyle w:val="Heading1"/>
        <w:spacing w:after="140" w:before="320"/>
      </w:pPr>
      <w:r>
        <w:t xml:space="preserve">3. Headline results</w:t>
      </w:r>
    </w:p>
    <w:p>
      <w:pPr>
        <w:spacing w:after="120" w:line="276"/>
      </w:pPr>
      <w:r>
        <w:rPr>
          <w:sz w:val="21"/>
          <w:szCs w:val="21"/>
        </w:rPr>
        <w:t xml:space="preserve">All methods are label-free and deployable. Significance is McNemar's exact paired test against majority voting on the same 2,757 questions.</w:t>
      </w:r>
    </w:p>
    <w:p>
      <w:pPr>
        <w:pStyle w:val="Heading2"/>
        <w:spacing w:after="100" w:before="240"/>
      </w:pPr>
      <w:r>
        <w:t xml:space="preserve">3.1  Short-answer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1700"/>
        <w:gridCol w:w="1600"/>
        <w:gridCol w:w="1700"/>
      </w:tblGrid>
      <w:tr>
        <w:trPr>
          <w:tblHeader/>
        </w:trPr>
        <w:tc>
          <w:tcPr>
            <w:tcW w:type="dxa" w:w="4360"/>
            <w:shd w:fill="E8F0FE" w:color="auto" w:val="clear"/>
            <w:tcMar>
              <w:top w:type="dxa" w:w="60"/>
              <w:left w:type="dxa" w:w="90"/>
              <w:bottom w:type="dxa" w:w="60"/>
              <w:right w:type="dxa" w:w="90"/>
            </w:tcMar>
          </w:tcPr>
          <w:p>
            <w:pPr>
              <w:spacing w:after="0"/>
              <w:jc w:val="left"/>
            </w:pPr>
            <w:r>
              <w:rPr>
                <w:b/>
                <w:bCs/>
                <w:sz w:val="19"/>
                <w:szCs w:val="19"/>
              </w:rPr>
              <w:t xml:space="preserve">method</w:t>
            </w:r>
          </w:p>
        </w:tc>
        <w:tc>
          <w:tcPr>
            <w:tcW w:type="dxa" w:w="1700"/>
            <w:shd w:fill="E8F0FE" w:color="auto" w:val="clear"/>
            <w:tcMar>
              <w:top w:type="dxa" w:w="60"/>
              <w:left w:type="dxa" w:w="90"/>
              <w:bottom w:type="dxa" w:w="60"/>
              <w:right w:type="dxa" w:w="90"/>
            </w:tcMar>
          </w:tcPr>
          <w:p>
            <w:pPr>
              <w:spacing w:after="0"/>
              <w:jc w:val="center"/>
            </w:pPr>
            <w:r>
              <w:rPr>
                <w:b/>
                <w:bCs/>
                <w:sz w:val="19"/>
                <w:szCs w:val="19"/>
              </w:rPr>
              <w:t xml:space="preserve">accuracy</w:t>
            </w:r>
          </w:p>
        </w:tc>
        <w:tc>
          <w:tcPr>
            <w:tcW w:type="dxa" w:w="1600"/>
            <w:shd w:fill="E8F0FE" w:color="auto" w:val="clear"/>
            <w:tcMar>
              <w:top w:type="dxa" w:w="60"/>
              <w:left w:type="dxa" w:w="90"/>
              <w:bottom w:type="dxa" w:w="60"/>
              <w:right w:type="dxa" w:w="90"/>
            </w:tcMar>
          </w:tcPr>
          <w:p>
            <w:pPr>
              <w:spacing w:after="0"/>
              <w:jc w:val="center"/>
            </w:pPr>
            <w:r>
              <w:rPr>
                <w:b/>
                <w:bCs/>
                <w:sz w:val="19"/>
                <w:szCs w:val="19"/>
              </w:rPr>
              <w:t xml:space="preserve">vs MV</w:t>
            </w:r>
          </w:p>
        </w:tc>
        <w:tc>
          <w:tcPr>
            <w:tcW w:type="dxa" w:w="1700"/>
            <w:shd w:fill="E8F0FE" w:color="auto" w:val="clear"/>
            <w:tcMar>
              <w:top w:type="dxa" w:w="60"/>
              <w:left w:type="dxa" w:w="90"/>
              <w:bottom w:type="dxa" w:w="60"/>
              <w:right w:type="dxa" w:w="90"/>
            </w:tcMar>
          </w:tcPr>
          <w:p>
            <w:pPr>
              <w:spacing w:after="0"/>
              <w:jc w:val="center"/>
            </w:pPr>
            <w:r>
              <w:rPr>
                <w:b/>
                <w:bCs/>
                <w:sz w:val="19"/>
                <w:szCs w:val="19"/>
              </w:rPr>
              <w:t xml:space="preserve">p</w:t>
            </w:r>
          </w:p>
        </w:tc>
      </w:tr>
      <w:tr>
        <w:tc>
          <w:tcPr>
            <w:tcW w:type="dxa" w:w="4360"/>
            <w:tcMar>
              <w:top w:type="dxa" w:w="60"/>
              <w:left w:type="dxa" w:w="90"/>
              <w:bottom w:type="dxa" w:w="60"/>
              <w:right w:type="dxa" w:w="90"/>
            </w:tcMar>
          </w:tcPr>
          <w:p>
            <w:pPr>
              <w:spacing w:after="0"/>
              <w:jc w:val="left"/>
            </w:pPr>
            <w:r>
              <w:rPr>
                <w:b w:val="false"/>
                <w:bCs w:val="false"/>
                <w:sz w:val="19"/>
                <w:szCs w:val="19"/>
              </w:rPr>
              <w:t xml:space="preserve">Random (floor)</w:t>
            </w:r>
          </w:p>
        </w:tc>
        <w:tc>
          <w:tcPr>
            <w:tcW w:type="dxa" w:w="1700"/>
            <w:tcMar>
              <w:top w:type="dxa" w:w="60"/>
              <w:left w:type="dxa" w:w="90"/>
              <w:bottom w:type="dxa" w:w="60"/>
              <w:right w:type="dxa" w:w="90"/>
            </w:tcMar>
          </w:tcPr>
          <w:p>
            <w:pPr>
              <w:spacing w:after="0"/>
              <w:jc w:val="center"/>
            </w:pPr>
            <w:r>
              <w:rPr>
                <w:b w:val="false"/>
                <w:bCs w:val="false"/>
                <w:sz w:val="19"/>
                <w:szCs w:val="19"/>
              </w:rPr>
              <w:t xml:space="preserve">62.21</w:t>
            </w:r>
          </w:p>
        </w:tc>
        <w:tc>
          <w:tcPr>
            <w:tcW w:type="dxa" w:w="1600"/>
            <w:tcMar>
              <w:top w:type="dxa" w:w="60"/>
              <w:left w:type="dxa" w:w="90"/>
              <w:bottom w:type="dxa" w:w="60"/>
              <w:right w:type="dxa" w:w="90"/>
            </w:tcMar>
          </w:tcPr>
          <w:p>
            <w:pPr>
              <w:spacing w:after="0"/>
              <w:jc w:val="center"/>
            </w:pPr>
            <w:r>
              <w:rPr>
                <w:b w:val="false"/>
                <w:bCs w:val="false"/>
                <w:sz w:val="19"/>
                <w:szCs w:val="19"/>
              </w:rPr>
              <w:t xml:space="preserve">−20.82</w:t>
            </w:r>
          </w:p>
        </w:tc>
        <w:tc>
          <w:tcPr>
            <w:tcW w:type="dxa" w:w="1700"/>
            <w:tcMar>
              <w:top w:type="dxa" w:w="60"/>
              <w:left w:type="dxa" w:w="90"/>
              <w:bottom w:type="dxa" w:w="60"/>
              <w:right w:type="dxa" w:w="90"/>
            </w:tcMar>
          </w:tcPr>
          <w:p>
            <w:pPr>
              <w:spacing w:after="0"/>
              <w:jc w:val="center"/>
            </w:pPr>
            <w:r>
              <w:rPr>
                <w:b w:val="false"/>
                <w:bCs w:val="false"/>
                <w:sz w:val="19"/>
                <w:szCs w:val="19"/>
              </w:rPr>
              <w:t xml:space="preserve">1.6e-114</w:t>
            </w:r>
          </w:p>
        </w:tc>
      </w:tr>
      <w:tr>
        <w:tc>
          <w:tcPr>
            <w:tcW w:type="dxa" w:w="4360"/>
            <w:shd w:fill="F8F9FA" w:color="auto" w:val="clear"/>
            <w:tcMar>
              <w:top w:type="dxa" w:w="60"/>
              <w:left w:type="dxa" w:w="90"/>
              <w:bottom w:type="dxa" w:w="60"/>
              <w:right w:type="dxa" w:w="90"/>
            </w:tcMar>
          </w:tcPr>
          <w:p>
            <w:pPr>
              <w:spacing w:after="0"/>
              <w:jc w:val="left"/>
            </w:pPr>
            <w:r>
              <w:rPr>
                <w:b w:val="false"/>
                <w:bCs w:val="false"/>
                <w:sz w:val="19"/>
                <w:szCs w:val="19"/>
              </w:rPr>
              <w:t xml:space="preserve">MV-exact</w:t>
            </w:r>
          </w:p>
        </w:tc>
        <w:tc>
          <w:tcPr>
            <w:tcW w:type="dxa" w:w="1700"/>
            <w:shd w:fill="F8F9FA" w:color="auto" w:val="clear"/>
            <w:tcMar>
              <w:top w:type="dxa" w:w="60"/>
              <w:left w:type="dxa" w:w="90"/>
              <w:bottom w:type="dxa" w:w="60"/>
              <w:right w:type="dxa" w:w="90"/>
            </w:tcMar>
          </w:tcPr>
          <w:p>
            <w:pPr>
              <w:spacing w:after="0"/>
              <w:jc w:val="center"/>
            </w:pPr>
            <w:r>
              <w:rPr>
                <w:b w:val="false"/>
                <w:bCs w:val="false"/>
                <w:sz w:val="19"/>
                <w:szCs w:val="19"/>
              </w:rPr>
              <w:t xml:space="preserve">83.03</w:t>
            </w:r>
          </w:p>
        </w:tc>
        <w:tc>
          <w:tcPr>
            <w:tcW w:type="dxa" w:w="1600"/>
            <w:shd w:fill="F8F9FA" w:color="auto" w:val="clear"/>
            <w:tcMar>
              <w:top w:type="dxa" w:w="60"/>
              <w:left w:type="dxa" w:w="90"/>
              <w:bottom w:type="dxa" w:w="60"/>
              <w:right w:type="dxa" w:w="90"/>
            </w:tcMar>
          </w:tcPr>
          <w:p>
            <w:pPr>
              <w:spacing w:after="0"/>
              <w:jc w:val="center"/>
            </w:pPr>
            <w:r>
              <w:rPr>
                <w:b w:val="false"/>
                <w:bCs w:val="false"/>
                <w:sz w:val="19"/>
                <w:szCs w:val="19"/>
              </w:rPr>
              <w:t xml:space="preserve">—</w:t>
            </w:r>
          </w:p>
        </w:tc>
        <w:tc>
          <w:tcPr>
            <w:tcW w:type="dxa" w:w="1700"/>
            <w:shd w:fill="F8F9FA" w:color="auto" w:val="clear"/>
            <w:tcMar>
              <w:top w:type="dxa" w:w="60"/>
              <w:left w:type="dxa" w:w="90"/>
              <w:bottom w:type="dxa" w:w="60"/>
              <w:right w:type="dxa" w:w="90"/>
            </w:tcMar>
          </w:tcPr>
          <w:p>
            <w:pPr>
              <w:spacing w:after="0"/>
              <w:jc w:val="center"/>
            </w:pPr>
            <w:r>
              <w:rPr>
                <w:b w:val="false"/>
                <w:bCs w:val="false"/>
                <w:sz w:val="19"/>
                <w:szCs w:val="19"/>
              </w:rPr>
              <w:t xml:space="preserve">—</w:t>
            </w:r>
          </w:p>
        </w:tc>
      </w:tr>
      <w:tr>
        <w:tc>
          <w:tcPr>
            <w:tcW w:type="dxa" w:w="4360"/>
            <w:tcMar>
              <w:top w:type="dxa" w:w="60"/>
              <w:left w:type="dxa" w:w="90"/>
              <w:bottom w:type="dxa" w:w="60"/>
              <w:right w:type="dxa" w:w="90"/>
            </w:tcMar>
          </w:tcPr>
          <w:p>
            <w:pPr>
              <w:spacing w:after="0"/>
              <w:jc w:val="left"/>
            </w:pPr>
            <w:r>
              <w:rPr>
                <w:b w:val="false"/>
                <w:bCs w:val="false"/>
                <w:sz w:val="19"/>
                <w:szCs w:val="19"/>
              </w:rPr>
              <w:t xml:space="preserve">MV-cluster (Universal Self-Consistency)</w:t>
            </w:r>
          </w:p>
        </w:tc>
        <w:tc>
          <w:tcPr>
            <w:tcW w:type="dxa" w:w="1700"/>
            <w:tcMar>
              <w:top w:type="dxa" w:w="60"/>
              <w:left w:type="dxa" w:w="90"/>
              <w:bottom w:type="dxa" w:w="60"/>
              <w:right w:type="dxa" w:w="90"/>
            </w:tcMar>
          </w:tcPr>
          <w:p>
            <w:pPr>
              <w:spacing w:after="0"/>
              <w:jc w:val="center"/>
            </w:pPr>
            <w:r>
              <w:rPr>
                <w:b w:val="false"/>
                <w:bCs w:val="false"/>
                <w:sz w:val="19"/>
                <w:szCs w:val="19"/>
              </w:rPr>
              <w:t xml:space="preserve">82.81</w:t>
            </w:r>
          </w:p>
        </w:tc>
        <w:tc>
          <w:tcPr>
            <w:tcW w:type="dxa" w:w="1600"/>
            <w:tcMar>
              <w:top w:type="dxa" w:w="60"/>
              <w:left w:type="dxa" w:w="90"/>
              <w:bottom w:type="dxa" w:w="60"/>
              <w:right w:type="dxa" w:w="90"/>
            </w:tcMar>
          </w:tcPr>
          <w:p>
            <w:pPr>
              <w:spacing w:after="0"/>
              <w:jc w:val="center"/>
            </w:pPr>
            <w:r>
              <w:rPr>
                <w:b w:val="false"/>
                <w:bCs w:val="false"/>
                <w:sz w:val="19"/>
                <w:szCs w:val="19"/>
              </w:rPr>
              <w:t xml:space="preserve">−0.22</w:t>
            </w:r>
          </w:p>
        </w:tc>
        <w:tc>
          <w:tcPr>
            <w:tcW w:type="dxa" w:w="1700"/>
            <w:tcMar>
              <w:top w:type="dxa" w:w="60"/>
              <w:left w:type="dxa" w:w="90"/>
              <w:bottom w:type="dxa" w:w="60"/>
              <w:right w:type="dxa" w:w="90"/>
            </w:tcMar>
          </w:tcPr>
          <w:p>
            <w:pPr>
              <w:spacing w:after="0"/>
              <w:jc w:val="center"/>
            </w:pPr>
            <w:r>
              <w:rPr>
                <w:b w:val="false"/>
                <w:bCs w:val="false"/>
                <w:sz w:val="19"/>
                <w:szCs w:val="19"/>
              </w:rPr>
              <w:t xml:space="preserve">0.561</w:t>
            </w:r>
          </w:p>
        </w:tc>
      </w:tr>
      <w:tr>
        <w:tc>
          <w:tcPr>
            <w:tcW w:type="dxa" w:w="4360"/>
            <w:shd w:fill="F8F9FA" w:color="auto" w:val="clear"/>
            <w:tcMar>
              <w:top w:type="dxa" w:w="60"/>
              <w:left w:type="dxa" w:w="90"/>
              <w:bottom w:type="dxa" w:w="60"/>
              <w:right w:type="dxa" w:w="90"/>
            </w:tcMar>
          </w:tcPr>
          <w:p>
            <w:pPr>
              <w:spacing w:after="0"/>
              <w:jc w:val="left"/>
            </w:pPr>
            <w:r>
              <w:rPr>
                <w:b w:val="false"/>
                <w:bCs w:val="false"/>
                <w:sz w:val="19"/>
                <w:szCs w:val="19"/>
              </w:rPr>
              <w:t xml:space="preserve">Medoid (kernel, no weights)</w:t>
            </w:r>
          </w:p>
        </w:tc>
        <w:tc>
          <w:tcPr>
            <w:tcW w:type="dxa" w:w="1700"/>
            <w:shd w:fill="F8F9FA" w:color="auto" w:val="clear"/>
            <w:tcMar>
              <w:top w:type="dxa" w:w="60"/>
              <w:left w:type="dxa" w:w="90"/>
              <w:bottom w:type="dxa" w:w="60"/>
              <w:right w:type="dxa" w:w="90"/>
            </w:tcMar>
          </w:tcPr>
          <w:p>
            <w:pPr>
              <w:spacing w:after="0"/>
              <w:jc w:val="center"/>
            </w:pPr>
            <w:r>
              <w:rPr>
                <w:b w:val="false"/>
                <w:bCs w:val="false"/>
                <w:sz w:val="19"/>
                <w:szCs w:val="19"/>
              </w:rPr>
              <w:t xml:space="preserve">82.88</w:t>
            </w:r>
          </w:p>
        </w:tc>
        <w:tc>
          <w:tcPr>
            <w:tcW w:type="dxa" w:w="1600"/>
            <w:shd w:fill="F8F9FA" w:color="auto" w:val="clear"/>
            <w:tcMar>
              <w:top w:type="dxa" w:w="60"/>
              <w:left w:type="dxa" w:w="90"/>
              <w:bottom w:type="dxa" w:w="60"/>
              <w:right w:type="dxa" w:w="90"/>
            </w:tcMar>
          </w:tcPr>
          <w:p>
            <w:pPr>
              <w:spacing w:after="0"/>
              <w:jc w:val="center"/>
            </w:pPr>
            <w:r>
              <w:rPr>
                <w:b w:val="false"/>
                <w:bCs w:val="false"/>
                <w:sz w:val="19"/>
                <w:szCs w:val="19"/>
              </w:rPr>
              <w:t xml:space="preserve">−0.15</w:t>
            </w:r>
          </w:p>
        </w:tc>
        <w:tc>
          <w:tcPr>
            <w:tcW w:type="dxa" w:w="1700"/>
            <w:shd w:fill="F8F9FA" w:color="auto" w:val="clear"/>
            <w:tcMar>
              <w:top w:type="dxa" w:w="60"/>
              <w:left w:type="dxa" w:w="90"/>
              <w:bottom w:type="dxa" w:w="60"/>
              <w:right w:type="dxa" w:w="90"/>
            </w:tcMar>
          </w:tcPr>
          <w:p>
            <w:pPr>
              <w:spacing w:after="0"/>
              <w:jc w:val="center"/>
            </w:pPr>
            <w:r>
              <w:rPr>
                <w:b w:val="false"/>
                <w:bCs w:val="false"/>
                <w:sz w:val="19"/>
                <w:szCs w:val="19"/>
              </w:rPr>
              <w:t xml:space="preserve">0.734</w:t>
            </w:r>
          </w:p>
        </w:tc>
      </w:tr>
      <w:tr>
        <w:tc>
          <w:tcPr>
            <w:tcW w:type="dxa" w:w="4360"/>
            <w:shd w:fill="E6F4EA" w:color="auto" w:val="clear"/>
            <w:tcMar>
              <w:top w:type="dxa" w:w="60"/>
              <w:left w:type="dxa" w:w="90"/>
              <w:bottom w:type="dxa" w:w="60"/>
              <w:right w:type="dxa" w:w="90"/>
            </w:tcMar>
          </w:tcPr>
          <w:p>
            <w:pPr>
              <w:spacing w:after="0"/>
              <w:jc w:val="left"/>
            </w:pPr>
            <w:r>
              <w:rPr>
                <w:b/>
                <w:bCs/>
                <w:sz w:val="19"/>
                <w:szCs w:val="19"/>
              </w:rPr>
              <w:t xml:space="preserve">KWA-EM (ours)</w:t>
            </w:r>
          </w:p>
        </w:tc>
        <w:tc>
          <w:tcPr>
            <w:tcW w:type="dxa" w:w="1700"/>
            <w:shd w:fill="E6F4EA" w:color="auto" w:val="clear"/>
            <w:tcMar>
              <w:top w:type="dxa" w:w="60"/>
              <w:left w:type="dxa" w:w="90"/>
              <w:bottom w:type="dxa" w:w="60"/>
              <w:right w:type="dxa" w:w="90"/>
            </w:tcMar>
          </w:tcPr>
          <w:p>
            <w:pPr>
              <w:spacing w:after="0"/>
              <w:jc w:val="center"/>
            </w:pPr>
            <w:r>
              <w:rPr>
                <w:b/>
                <w:bCs/>
                <w:sz w:val="19"/>
                <w:szCs w:val="19"/>
              </w:rPr>
              <w:t xml:space="preserve">86.25</w:t>
            </w:r>
          </w:p>
        </w:tc>
        <w:tc>
          <w:tcPr>
            <w:tcW w:type="dxa" w:w="1600"/>
            <w:shd w:fill="E6F4EA" w:color="auto" w:val="clear"/>
            <w:tcMar>
              <w:top w:type="dxa" w:w="60"/>
              <w:left w:type="dxa" w:w="90"/>
              <w:bottom w:type="dxa" w:w="60"/>
              <w:right w:type="dxa" w:w="90"/>
            </w:tcMar>
          </w:tcPr>
          <w:p>
            <w:pPr>
              <w:spacing w:after="0"/>
              <w:jc w:val="center"/>
            </w:pPr>
            <w:r>
              <w:rPr>
                <w:b/>
                <w:bCs/>
                <w:sz w:val="19"/>
                <w:szCs w:val="19"/>
              </w:rPr>
              <w:t xml:space="preserve">+3.23</w:t>
            </w:r>
          </w:p>
        </w:tc>
        <w:tc>
          <w:tcPr>
            <w:tcW w:type="dxa" w:w="1700"/>
            <w:shd w:fill="E6F4EA" w:color="auto" w:val="clear"/>
            <w:tcMar>
              <w:top w:type="dxa" w:w="60"/>
              <w:left w:type="dxa" w:w="90"/>
              <w:bottom w:type="dxa" w:w="60"/>
              <w:right w:type="dxa" w:w="90"/>
            </w:tcMar>
          </w:tcPr>
          <w:p>
            <w:pPr>
              <w:spacing w:after="0"/>
              <w:jc w:val="center"/>
            </w:pPr>
            <w:r>
              <w:rPr>
                <w:b/>
                <w:bCs/>
                <w:sz w:val="19"/>
                <w:szCs w:val="19"/>
              </w:rPr>
              <w:t xml:space="preserve">4.1e-11</w:t>
            </w:r>
          </w:p>
        </w:tc>
      </w:tr>
    </w:tbl>
    <w:p>
      <w:pPr>
        <w:pStyle w:val="Heading2"/>
        <w:spacing w:after="100" w:before="240"/>
      </w:pPr>
      <w:r>
        <w:t xml:space="preserve">3.2  Full-sentence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1700"/>
        <w:gridCol w:w="1600"/>
        <w:gridCol w:w="1700"/>
      </w:tblGrid>
      <w:tr>
        <w:trPr>
          <w:tblHeader/>
        </w:trPr>
        <w:tc>
          <w:tcPr>
            <w:tcW w:type="dxa" w:w="4360"/>
            <w:shd w:fill="E8F0FE" w:color="auto" w:val="clear"/>
            <w:tcMar>
              <w:top w:type="dxa" w:w="60"/>
              <w:left w:type="dxa" w:w="90"/>
              <w:bottom w:type="dxa" w:w="60"/>
              <w:right w:type="dxa" w:w="90"/>
            </w:tcMar>
          </w:tcPr>
          <w:p>
            <w:pPr>
              <w:spacing w:after="0"/>
              <w:jc w:val="left"/>
            </w:pPr>
            <w:r>
              <w:rPr>
                <w:b/>
                <w:bCs/>
                <w:sz w:val="19"/>
                <w:szCs w:val="19"/>
              </w:rPr>
              <w:t xml:space="preserve">method</w:t>
            </w:r>
          </w:p>
        </w:tc>
        <w:tc>
          <w:tcPr>
            <w:tcW w:type="dxa" w:w="1700"/>
            <w:shd w:fill="E8F0FE" w:color="auto" w:val="clear"/>
            <w:tcMar>
              <w:top w:type="dxa" w:w="60"/>
              <w:left w:type="dxa" w:w="90"/>
              <w:bottom w:type="dxa" w:w="60"/>
              <w:right w:type="dxa" w:w="90"/>
            </w:tcMar>
          </w:tcPr>
          <w:p>
            <w:pPr>
              <w:spacing w:after="0"/>
              <w:jc w:val="center"/>
            </w:pPr>
            <w:r>
              <w:rPr>
                <w:b/>
                <w:bCs/>
                <w:sz w:val="19"/>
                <w:szCs w:val="19"/>
              </w:rPr>
              <w:t xml:space="preserve">accuracy</w:t>
            </w:r>
          </w:p>
        </w:tc>
        <w:tc>
          <w:tcPr>
            <w:tcW w:type="dxa" w:w="1600"/>
            <w:shd w:fill="E8F0FE" w:color="auto" w:val="clear"/>
            <w:tcMar>
              <w:top w:type="dxa" w:w="60"/>
              <w:left w:type="dxa" w:w="90"/>
              <w:bottom w:type="dxa" w:w="60"/>
              <w:right w:type="dxa" w:w="90"/>
            </w:tcMar>
          </w:tcPr>
          <w:p>
            <w:pPr>
              <w:spacing w:after="0"/>
              <w:jc w:val="center"/>
            </w:pPr>
            <w:r>
              <w:rPr>
                <w:b/>
                <w:bCs/>
                <w:sz w:val="19"/>
                <w:szCs w:val="19"/>
              </w:rPr>
              <w:t xml:space="preserve">vs MV</w:t>
            </w:r>
          </w:p>
        </w:tc>
        <w:tc>
          <w:tcPr>
            <w:tcW w:type="dxa" w:w="1700"/>
            <w:shd w:fill="E8F0FE" w:color="auto" w:val="clear"/>
            <w:tcMar>
              <w:top w:type="dxa" w:w="60"/>
              <w:left w:type="dxa" w:w="90"/>
              <w:bottom w:type="dxa" w:w="60"/>
              <w:right w:type="dxa" w:w="90"/>
            </w:tcMar>
          </w:tcPr>
          <w:p>
            <w:pPr>
              <w:spacing w:after="0"/>
              <w:jc w:val="center"/>
            </w:pPr>
            <w:r>
              <w:rPr>
                <w:b/>
                <w:bCs/>
                <w:sz w:val="19"/>
                <w:szCs w:val="19"/>
              </w:rPr>
              <w:t xml:space="preserve">p</w:t>
            </w:r>
          </w:p>
        </w:tc>
      </w:tr>
      <w:tr>
        <w:tc>
          <w:tcPr>
            <w:tcW w:type="dxa" w:w="4360"/>
            <w:tcMar>
              <w:top w:type="dxa" w:w="60"/>
              <w:left w:type="dxa" w:w="90"/>
              <w:bottom w:type="dxa" w:w="60"/>
              <w:right w:type="dxa" w:w="90"/>
            </w:tcMar>
          </w:tcPr>
          <w:p>
            <w:pPr>
              <w:spacing w:after="0"/>
              <w:jc w:val="left"/>
            </w:pPr>
            <w:r>
              <w:rPr>
                <w:b w:val="false"/>
                <w:bCs w:val="false"/>
                <w:sz w:val="19"/>
                <w:szCs w:val="19"/>
              </w:rPr>
              <w:t xml:space="preserve">Random (floor)</w:t>
            </w:r>
          </w:p>
        </w:tc>
        <w:tc>
          <w:tcPr>
            <w:tcW w:type="dxa" w:w="1700"/>
            <w:tcMar>
              <w:top w:type="dxa" w:w="60"/>
              <w:left w:type="dxa" w:w="90"/>
              <w:bottom w:type="dxa" w:w="60"/>
              <w:right w:type="dxa" w:w="90"/>
            </w:tcMar>
          </w:tcPr>
          <w:p>
            <w:pPr>
              <w:spacing w:after="0"/>
              <w:jc w:val="center"/>
            </w:pPr>
            <w:r>
              <w:rPr>
                <w:b w:val="false"/>
                <w:bCs w:val="false"/>
                <w:sz w:val="19"/>
                <w:szCs w:val="19"/>
              </w:rPr>
              <w:t xml:space="preserve">75.70</w:t>
            </w:r>
          </w:p>
        </w:tc>
        <w:tc>
          <w:tcPr>
            <w:tcW w:type="dxa" w:w="1600"/>
            <w:tcMar>
              <w:top w:type="dxa" w:w="60"/>
              <w:left w:type="dxa" w:w="90"/>
              <w:bottom w:type="dxa" w:w="60"/>
              <w:right w:type="dxa" w:w="90"/>
            </w:tcMar>
          </w:tcPr>
          <w:p>
            <w:pPr>
              <w:spacing w:after="0"/>
              <w:jc w:val="center"/>
            </w:pPr>
            <w:r>
              <w:rPr>
                <w:b w:val="false"/>
                <w:bCs w:val="false"/>
                <w:sz w:val="19"/>
                <w:szCs w:val="19"/>
              </w:rPr>
              <w:t xml:space="preserve">−3.19</w:t>
            </w:r>
          </w:p>
        </w:tc>
        <w:tc>
          <w:tcPr>
            <w:tcW w:type="dxa" w:w="1700"/>
            <w:tcMar>
              <w:top w:type="dxa" w:w="60"/>
              <w:left w:type="dxa" w:w="90"/>
              <w:bottom w:type="dxa" w:w="60"/>
              <w:right w:type="dxa" w:w="90"/>
            </w:tcMar>
          </w:tcPr>
          <w:p>
            <w:pPr>
              <w:spacing w:after="0"/>
              <w:jc w:val="center"/>
            </w:pPr>
            <w:r>
              <w:rPr>
                <w:b w:val="false"/>
                <w:bCs w:val="false"/>
                <w:sz w:val="19"/>
                <w:szCs w:val="19"/>
              </w:rPr>
              <w:t xml:space="preserve">4.6e-05</w:t>
            </w:r>
          </w:p>
        </w:tc>
      </w:tr>
      <w:tr>
        <w:tc>
          <w:tcPr>
            <w:tcW w:type="dxa" w:w="4360"/>
            <w:shd w:fill="F8F9FA" w:color="auto" w:val="clear"/>
            <w:tcMar>
              <w:top w:type="dxa" w:w="60"/>
              <w:left w:type="dxa" w:w="90"/>
              <w:bottom w:type="dxa" w:w="60"/>
              <w:right w:type="dxa" w:w="90"/>
            </w:tcMar>
          </w:tcPr>
          <w:p>
            <w:pPr>
              <w:spacing w:after="0"/>
              <w:jc w:val="left"/>
            </w:pPr>
            <w:r>
              <w:rPr>
                <w:b w:val="false"/>
                <w:bCs w:val="false"/>
                <w:sz w:val="19"/>
                <w:szCs w:val="19"/>
              </w:rPr>
              <w:t xml:space="preserve">MV-exact</w:t>
            </w:r>
          </w:p>
        </w:tc>
        <w:tc>
          <w:tcPr>
            <w:tcW w:type="dxa" w:w="1700"/>
            <w:shd w:fill="F8F9FA" w:color="auto" w:val="clear"/>
            <w:tcMar>
              <w:top w:type="dxa" w:w="60"/>
              <w:left w:type="dxa" w:w="90"/>
              <w:bottom w:type="dxa" w:w="60"/>
              <w:right w:type="dxa" w:w="90"/>
            </w:tcMar>
          </w:tcPr>
          <w:p>
            <w:pPr>
              <w:spacing w:after="0"/>
              <w:jc w:val="center"/>
            </w:pPr>
            <w:r>
              <w:rPr>
                <w:b w:val="false"/>
                <w:bCs w:val="false"/>
                <w:sz w:val="19"/>
                <w:szCs w:val="19"/>
              </w:rPr>
              <w:t xml:space="preserve">78.89</w:t>
            </w:r>
          </w:p>
        </w:tc>
        <w:tc>
          <w:tcPr>
            <w:tcW w:type="dxa" w:w="1600"/>
            <w:shd w:fill="F8F9FA" w:color="auto" w:val="clear"/>
            <w:tcMar>
              <w:top w:type="dxa" w:w="60"/>
              <w:left w:type="dxa" w:w="90"/>
              <w:bottom w:type="dxa" w:w="60"/>
              <w:right w:type="dxa" w:w="90"/>
            </w:tcMar>
          </w:tcPr>
          <w:p>
            <w:pPr>
              <w:spacing w:after="0"/>
              <w:jc w:val="center"/>
            </w:pPr>
            <w:r>
              <w:rPr>
                <w:b w:val="false"/>
                <w:bCs w:val="false"/>
                <w:sz w:val="19"/>
                <w:szCs w:val="19"/>
              </w:rPr>
              <w:t xml:space="preserve">—</w:t>
            </w:r>
          </w:p>
        </w:tc>
        <w:tc>
          <w:tcPr>
            <w:tcW w:type="dxa" w:w="1700"/>
            <w:shd w:fill="F8F9FA" w:color="auto" w:val="clear"/>
            <w:tcMar>
              <w:top w:type="dxa" w:w="60"/>
              <w:left w:type="dxa" w:w="90"/>
              <w:bottom w:type="dxa" w:w="60"/>
              <w:right w:type="dxa" w:w="90"/>
            </w:tcMar>
          </w:tcPr>
          <w:p>
            <w:pPr>
              <w:spacing w:after="0"/>
              <w:jc w:val="center"/>
            </w:pPr>
            <w:r>
              <w:rPr>
                <w:b w:val="false"/>
                <w:bCs w:val="false"/>
                <w:sz w:val="19"/>
                <w:szCs w:val="19"/>
              </w:rPr>
              <w:t xml:space="preserve">—</w:t>
            </w:r>
          </w:p>
        </w:tc>
      </w:tr>
      <w:tr>
        <w:tc>
          <w:tcPr>
            <w:tcW w:type="dxa" w:w="4360"/>
            <w:tcMar>
              <w:top w:type="dxa" w:w="60"/>
              <w:left w:type="dxa" w:w="90"/>
              <w:bottom w:type="dxa" w:w="60"/>
              <w:right w:type="dxa" w:w="90"/>
            </w:tcMar>
          </w:tcPr>
          <w:p>
            <w:pPr>
              <w:spacing w:after="0"/>
              <w:jc w:val="left"/>
            </w:pPr>
            <w:r>
              <w:rPr>
                <w:b w:val="false"/>
                <w:bCs w:val="false"/>
                <w:sz w:val="19"/>
                <w:szCs w:val="19"/>
              </w:rPr>
              <w:t xml:space="preserve">MV-cluster (Universal Self-Consistency)</w:t>
            </w:r>
          </w:p>
        </w:tc>
        <w:tc>
          <w:tcPr>
            <w:tcW w:type="dxa" w:w="1700"/>
            <w:tcMar>
              <w:top w:type="dxa" w:w="60"/>
              <w:left w:type="dxa" w:w="90"/>
              <w:bottom w:type="dxa" w:w="60"/>
              <w:right w:type="dxa" w:w="90"/>
            </w:tcMar>
          </w:tcPr>
          <w:p>
            <w:pPr>
              <w:spacing w:after="0"/>
              <w:jc w:val="center"/>
            </w:pPr>
            <w:r>
              <w:rPr>
                <w:b w:val="false"/>
                <w:bCs w:val="false"/>
                <w:sz w:val="19"/>
                <w:szCs w:val="19"/>
              </w:rPr>
              <w:t xml:space="preserve">83.64</w:t>
            </w:r>
          </w:p>
        </w:tc>
        <w:tc>
          <w:tcPr>
            <w:tcW w:type="dxa" w:w="1600"/>
            <w:tcMar>
              <w:top w:type="dxa" w:w="60"/>
              <w:left w:type="dxa" w:w="90"/>
              <w:bottom w:type="dxa" w:w="60"/>
              <w:right w:type="dxa" w:w="90"/>
            </w:tcMar>
          </w:tcPr>
          <w:p>
            <w:pPr>
              <w:spacing w:after="0"/>
              <w:jc w:val="center"/>
            </w:pPr>
            <w:r>
              <w:rPr>
                <w:b w:val="false"/>
                <w:bCs w:val="false"/>
                <w:sz w:val="19"/>
                <w:szCs w:val="19"/>
              </w:rPr>
              <w:t xml:space="preserve">+4.75</w:t>
            </w:r>
          </w:p>
        </w:tc>
        <w:tc>
          <w:tcPr>
            <w:tcW w:type="dxa" w:w="1700"/>
            <w:tcMar>
              <w:top w:type="dxa" w:w="60"/>
              <w:left w:type="dxa" w:w="90"/>
              <w:bottom w:type="dxa" w:w="60"/>
              <w:right w:type="dxa" w:w="90"/>
            </w:tcMar>
          </w:tcPr>
          <w:p>
            <w:pPr>
              <w:spacing w:after="0"/>
              <w:jc w:val="center"/>
            </w:pPr>
            <w:r>
              <w:rPr>
                <w:b w:val="false"/>
                <w:bCs w:val="false"/>
                <w:sz w:val="19"/>
                <w:szCs w:val="19"/>
              </w:rPr>
              <w:t xml:space="preserve">2.2e-13</w:t>
            </w:r>
          </w:p>
        </w:tc>
      </w:tr>
      <w:tr>
        <w:tc>
          <w:tcPr>
            <w:tcW w:type="dxa" w:w="4360"/>
            <w:shd w:fill="E6F4EA" w:color="auto" w:val="clear"/>
            <w:tcMar>
              <w:top w:type="dxa" w:w="60"/>
              <w:left w:type="dxa" w:w="90"/>
              <w:bottom w:type="dxa" w:w="60"/>
              <w:right w:type="dxa" w:w="90"/>
            </w:tcMar>
          </w:tcPr>
          <w:p>
            <w:pPr>
              <w:spacing w:after="0"/>
              <w:jc w:val="left"/>
            </w:pPr>
            <w:r>
              <w:rPr>
                <w:b/>
                <w:bCs/>
                <w:sz w:val="19"/>
                <w:szCs w:val="19"/>
              </w:rPr>
              <w:t xml:space="preserve">Medoid (kernel, no weights)</w:t>
            </w:r>
          </w:p>
        </w:tc>
        <w:tc>
          <w:tcPr>
            <w:tcW w:type="dxa" w:w="1700"/>
            <w:shd w:fill="E6F4EA" w:color="auto" w:val="clear"/>
            <w:tcMar>
              <w:top w:type="dxa" w:w="60"/>
              <w:left w:type="dxa" w:w="90"/>
              <w:bottom w:type="dxa" w:w="60"/>
              <w:right w:type="dxa" w:w="90"/>
            </w:tcMar>
          </w:tcPr>
          <w:p>
            <w:pPr>
              <w:spacing w:after="0"/>
              <w:jc w:val="center"/>
            </w:pPr>
            <w:r>
              <w:rPr>
                <w:b/>
                <w:bCs/>
                <w:sz w:val="19"/>
                <w:szCs w:val="19"/>
              </w:rPr>
              <w:t xml:space="preserve">86.18</w:t>
            </w:r>
          </w:p>
        </w:tc>
        <w:tc>
          <w:tcPr>
            <w:tcW w:type="dxa" w:w="1600"/>
            <w:shd w:fill="E6F4EA" w:color="auto" w:val="clear"/>
            <w:tcMar>
              <w:top w:type="dxa" w:w="60"/>
              <w:left w:type="dxa" w:w="90"/>
              <w:bottom w:type="dxa" w:w="60"/>
              <w:right w:type="dxa" w:w="90"/>
            </w:tcMar>
          </w:tcPr>
          <w:p>
            <w:pPr>
              <w:spacing w:after="0"/>
              <w:jc w:val="center"/>
            </w:pPr>
            <w:r>
              <w:rPr>
                <w:b/>
                <w:bCs/>
                <w:sz w:val="19"/>
                <w:szCs w:val="19"/>
              </w:rPr>
              <w:t xml:space="preserve">+7.29</w:t>
            </w:r>
          </w:p>
        </w:tc>
        <w:tc>
          <w:tcPr>
            <w:tcW w:type="dxa" w:w="1700"/>
            <w:shd w:fill="E6F4EA" w:color="auto" w:val="clear"/>
            <w:tcMar>
              <w:top w:type="dxa" w:w="60"/>
              <w:left w:type="dxa" w:w="90"/>
              <w:bottom w:type="dxa" w:w="60"/>
              <w:right w:type="dxa" w:w="90"/>
            </w:tcMar>
          </w:tcPr>
          <w:p>
            <w:pPr>
              <w:spacing w:after="0"/>
              <w:jc w:val="center"/>
            </w:pPr>
            <w:r>
              <w:rPr>
                <w:b/>
                <w:bCs/>
                <w:sz w:val="19"/>
                <w:szCs w:val="19"/>
              </w:rPr>
              <w:t xml:space="preserve">8.1e-31</w:t>
            </w:r>
          </w:p>
        </w:tc>
      </w:tr>
      <w:tr>
        <w:tc>
          <w:tcPr>
            <w:tcW w:type="dxa" w:w="4360"/>
            <w:tcMar>
              <w:top w:type="dxa" w:w="60"/>
              <w:left w:type="dxa" w:w="90"/>
              <w:bottom w:type="dxa" w:w="60"/>
              <w:right w:type="dxa" w:w="90"/>
            </w:tcMar>
          </w:tcPr>
          <w:p>
            <w:pPr>
              <w:spacing w:after="0"/>
              <w:jc w:val="left"/>
            </w:pPr>
            <w:r>
              <w:rPr>
                <w:b w:val="false"/>
                <w:bCs w:val="false"/>
                <w:sz w:val="19"/>
                <w:szCs w:val="19"/>
              </w:rPr>
              <w:t xml:space="preserve">KWA-EM (ours)</w:t>
            </w:r>
          </w:p>
        </w:tc>
        <w:tc>
          <w:tcPr>
            <w:tcW w:type="dxa" w:w="1700"/>
            <w:tcMar>
              <w:top w:type="dxa" w:w="60"/>
              <w:left w:type="dxa" w:w="90"/>
              <w:bottom w:type="dxa" w:w="60"/>
              <w:right w:type="dxa" w:w="90"/>
            </w:tcMar>
          </w:tcPr>
          <w:p>
            <w:pPr>
              <w:spacing w:after="0"/>
              <w:jc w:val="center"/>
            </w:pPr>
            <w:r>
              <w:rPr>
                <w:b w:val="false"/>
                <w:bCs w:val="false"/>
                <w:sz w:val="19"/>
                <w:szCs w:val="19"/>
              </w:rPr>
              <w:t xml:space="preserve">85.42</w:t>
            </w:r>
          </w:p>
        </w:tc>
        <w:tc>
          <w:tcPr>
            <w:tcW w:type="dxa" w:w="1600"/>
            <w:tcMar>
              <w:top w:type="dxa" w:w="60"/>
              <w:left w:type="dxa" w:w="90"/>
              <w:bottom w:type="dxa" w:w="60"/>
              <w:right w:type="dxa" w:w="90"/>
            </w:tcMar>
          </w:tcPr>
          <w:p>
            <w:pPr>
              <w:spacing w:after="0"/>
              <w:jc w:val="center"/>
            </w:pPr>
            <w:r>
              <w:rPr>
                <w:b w:val="false"/>
                <w:bCs w:val="false"/>
                <w:sz w:val="19"/>
                <w:szCs w:val="19"/>
              </w:rPr>
              <w:t xml:space="preserve">+6.53</w:t>
            </w:r>
          </w:p>
        </w:tc>
        <w:tc>
          <w:tcPr>
            <w:tcW w:type="dxa" w:w="1700"/>
            <w:tcMar>
              <w:top w:type="dxa" w:w="60"/>
              <w:left w:type="dxa" w:w="90"/>
              <w:bottom w:type="dxa" w:w="60"/>
              <w:right w:type="dxa" w:w="90"/>
            </w:tcMar>
          </w:tcPr>
          <w:p>
            <w:pPr>
              <w:spacing w:after="0"/>
              <w:jc w:val="center"/>
            </w:pPr>
            <w:r>
              <w:rPr>
                <w:b w:val="false"/>
                <w:bCs w:val="false"/>
                <w:sz w:val="19"/>
                <w:szCs w:val="19"/>
              </w:rPr>
              <w:t xml:space="preserve">3.8e-22</w:t>
            </w:r>
          </w:p>
        </w:tc>
      </w:tr>
    </w:tbl>
    <w:p>
      <w:pPr>
        <w:spacing w:after="60" w:before="120"/>
        <w:jc w:val="center"/>
      </w:pPr>
      <w:r>
        <w:drawing>
          <wp:inline distT="0" distB="0" distL="0" distR="0">
            <wp:extent cx="447675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2324100"/>
                    </a:xfrm>
                    <a:prstGeom prst="rect">
                      <a:avLst/>
                    </a:prstGeom>
                  </pic:spPr>
                </pic:pic>
              </a:graphicData>
            </a:graphic>
          </wp:inline>
        </w:drawing>
      </w:r>
    </w:p>
    <w:p>
      <w:pPr>
        <w:spacing w:after="200"/>
        <w:jc w:val="center"/>
      </w:pPr>
      <w:r>
        <w:rPr>
          <w:i/>
          <w:iCs/>
          <w:color w:val="5F6368"/>
          <w:sz w:val="17"/>
          <w:szCs w:val="17"/>
        </w:rPr>
        <w:t xml:space="preserve">Figure 1 — Accuracy by method under the short-answer prompt. Black outline marks the best method. Full-sentence results are in Table 3.2.</w:t>
      </w:r>
    </w:p>
    <w:p>
      <w:pPr>
        <w:spacing w:after="120" w:line="276"/>
      </w:pPr>
      <w:r>
        <w:rPr>
          <w:b/>
          <w:bCs/>
          <w:sz w:val="21"/>
          <w:szCs w:val="21"/>
        </w:rPr>
        <w:t xml:space="preserve">The proposed method beats majority voting decisively in both conditions</w:t>
      </w:r>
      <w:r>
        <w:rPr>
          <w:sz w:val="21"/>
          <w:szCs w:val="21"/>
        </w:rPr>
        <w:t xml:space="preserve"> (+3.23 and +6.53, both p &lt; 1e-10). But under the full-sentence prompt it is beaten by the medoid — the same similarity kernel with the weighting removed.</w:t>
      </w:r>
    </w:p>
    <w:p>
      <w:pPr>
        <w:spacing w:after="120" w:line="276"/>
      </w:pPr>
      <w:r>
        <w:rPr>
          <w:sz w:val="21"/>
          <w:szCs w:val="21"/>
        </w:rPr>
        <w:t xml:space="preserve">Two incidental findings worth recording. Universal Self-Consistency, the published standard for open-ended aggregation, fails to beat plain majority voting on short answers (−0.22, p = 0.56) and is beaten by the far simpler medoid on full sentences. And exact-match voting nearly collapses to chance on full sentences — 78.89 against a 75.70 random floor — because with 5.3 distinct answers per question there is rarely a majority to count.</w:t>
      </w:r>
    </w:p>
    <w:p>
      <w:pPr>
        <w:pStyle w:val="Heading1"/>
        <w:spacing w:after="140" w:before="320"/>
      </w:pPr>
      <w:r>
        <w:t xml:space="preserve">4. The ablation, which is the real finding</w:t>
      </w:r>
    </w:p>
    <w:p>
      <w:pPr>
        <w:spacing w:after="120" w:line="276"/>
      </w:pPr>
      <w:r>
        <w:rPr>
          <w:sz w:val="21"/>
          <w:szCs w:val="21"/>
        </w:rPr>
        <w:t xml:space="preserve">The method has two separable ingredients: a similarity kernel, and label-free per-model weights. The medoid isolates the first (kernel with all weights equal to 1), so the difference between the three methods decomposes cleanly.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350"/>
        <w:gridCol w:w="1350"/>
        <w:gridCol w:w="1350"/>
        <w:gridCol w:w="1350"/>
      </w:tblGrid>
      <w:tr>
        <w:trPr>
          <w:tblHeader/>
        </w:trPr>
        <w:tc>
          <w:tcPr>
            <w:tcW w:type="dxa" w:w="3960"/>
            <w:shd w:fill="E8F0FE" w:color="auto" w:val="clear"/>
            <w:tcMar>
              <w:top w:type="dxa" w:w="60"/>
              <w:left w:type="dxa" w:w="90"/>
              <w:bottom w:type="dxa" w:w="60"/>
              <w:right w:type="dxa" w:w="90"/>
            </w:tcMar>
          </w:tcPr>
          <w:p>
            <w:pPr>
              <w:spacing w:after="0"/>
              <w:jc w:val="left"/>
            </w:pPr>
            <w:r>
              <w:rPr>
                <w:b/>
                <w:bCs/>
                <w:sz w:val="19"/>
                <w:szCs w:val="19"/>
              </w:rPr>
              <w:t xml:space="preserve">contribution</w:t>
            </w:r>
          </w:p>
        </w:tc>
        <w:tc>
          <w:tcPr>
            <w:tcW w:type="dxa" w:w="1350"/>
            <w:shd w:fill="E8F0FE" w:color="auto" w:val="clear"/>
            <w:tcMar>
              <w:top w:type="dxa" w:w="60"/>
              <w:left w:type="dxa" w:w="90"/>
              <w:bottom w:type="dxa" w:w="60"/>
              <w:right w:type="dxa" w:w="90"/>
            </w:tcMar>
          </w:tcPr>
          <w:p>
            <w:pPr>
              <w:spacing w:after="0"/>
              <w:jc w:val="center"/>
            </w:pPr>
            <w:r>
              <w:rPr>
                <w:b/>
                <w:bCs/>
                <w:sz w:val="19"/>
                <w:szCs w:val="19"/>
              </w:rPr>
              <w:t xml:space="preserve">short-answer</w:t>
            </w:r>
          </w:p>
        </w:tc>
        <w:tc>
          <w:tcPr>
            <w:tcW w:type="dxa" w:w="1350"/>
            <w:shd w:fill="E8F0FE" w:color="auto" w:val="clear"/>
            <w:tcMar>
              <w:top w:type="dxa" w:w="60"/>
              <w:left w:type="dxa" w:w="90"/>
              <w:bottom w:type="dxa" w:w="60"/>
              <w:right w:type="dxa" w:w="90"/>
            </w:tcMar>
          </w:tcPr>
          <w:p>
            <w:pPr>
              <w:spacing w:after="0"/>
              <w:jc w:val="center"/>
            </w:pPr>
            <w:r>
              <w:rPr>
                <w:b/>
                <w:bCs/>
                <w:sz w:val="19"/>
                <w:szCs w:val="19"/>
              </w:rPr>
              <w:t xml:space="preserve">p</w:t>
            </w:r>
          </w:p>
        </w:tc>
        <w:tc>
          <w:tcPr>
            <w:tcW w:type="dxa" w:w="1350"/>
            <w:shd w:fill="E8F0FE" w:color="auto" w:val="clear"/>
            <w:tcMar>
              <w:top w:type="dxa" w:w="60"/>
              <w:left w:type="dxa" w:w="90"/>
              <w:bottom w:type="dxa" w:w="60"/>
              <w:right w:type="dxa" w:w="90"/>
            </w:tcMar>
          </w:tcPr>
          <w:p>
            <w:pPr>
              <w:spacing w:after="0"/>
              <w:jc w:val="center"/>
            </w:pPr>
            <w:r>
              <w:rPr>
                <w:b/>
                <w:bCs/>
                <w:sz w:val="19"/>
                <w:szCs w:val="19"/>
              </w:rPr>
              <w:t xml:space="preserve">full-sentence</w:t>
            </w:r>
          </w:p>
        </w:tc>
        <w:tc>
          <w:tcPr>
            <w:tcW w:type="dxa" w:w="1350"/>
            <w:shd w:fill="E8F0FE" w:color="auto" w:val="clear"/>
            <w:tcMar>
              <w:top w:type="dxa" w:w="60"/>
              <w:left w:type="dxa" w:w="90"/>
              <w:bottom w:type="dxa" w:w="60"/>
              <w:right w:type="dxa" w:w="90"/>
            </w:tcMar>
          </w:tcPr>
          <w:p>
            <w:pPr>
              <w:spacing w:after="0"/>
              <w:jc w:val="center"/>
            </w:pPr>
            <w:r>
              <w:rPr>
                <w:b/>
                <w:bCs/>
                <w:sz w:val="19"/>
                <w:szCs w:val="19"/>
              </w:rPr>
              <w:t xml:space="preserve">p</w:t>
            </w:r>
          </w:p>
        </w:tc>
      </w:tr>
      <w:tr>
        <w:tc>
          <w:tcPr>
            <w:tcW w:type="dxa" w:w="3960"/>
            <w:tcMar>
              <w:top w:type="dxa" w:w="60"/>
              <w:left w:type="dxa" w:w="90"/>
              <w:bottom w:type="dxa" w:w="60"/>
              <w:right w:type="dxa" w:w="90"/>
            </w:tcMar>
          </w:tcPr>
          <w:p>
            <w:pPr>
              <w:spacing w:after="0"/>
              <w:jc w:val="left"/>
            </w:pPr>
            <w:r>
              <w:rPr>
                <w:b w:val="false"/>
                <w:bCs w:val="false"/>
                <w:sz w:val="19"/>
                <w:szCs w:val="19"/>
              </w:rPr>
              <w:t xml:space="preserve">similarity kernel alone   (MV → Medoid)</w:t>
            </w:r>
          </w:p>
        </w:tc>
        <w:tc>
          <w:tcPr>
            <w:tcW w:type="dxa" w:w="1350"/>
            <w:tcMar>
              <w:top w:type="dxa" w:w="60"/>
              <w:left w:type="dxa" w:w="90"/>
              <w:bottom w:type="dxa" w:w="60"/>
              <w:right w:type="dxa" w:w="90"/>
            </w:tcMar>
          </w:tcPr>
          <w:p>
            <w:pPr>
              <w:spacing w:after="0"/>
              <w:jc w:val="center"/>
            </w:pPr>
            <w:r>
              <w:rPr>
                <w:b w:val="false"/>
                <w:bCs w:val="false"/>
                <w:sz w:val="19"/>
                <w:szCs w:val="19"/>
              </w:rPr>
              <w:t xml:space="preserve">−0.15</w:t>
            </w:r>
          </w:p>
        </w:tc>
        <w:tc>
          <w:tcPr>
            <w:tcW w:type="dxa" w:w="1350"/>
            <w:tcMar>
              <w:top w:type="dxa" w:w="60"/>
              <w:left w:type="dxa" w:w="90"/>
              <w:bottom w:type="dxa" w:w="60"/>
              <w:right w:type="dxa" w:w="90"/>
            </w:tcMar>
          </w:tcPr>
          <w:p>
            <w:pPr>
              <w:spacing w:after="0"/>
              <w:jc w:val="center"/>
            </w:pPr>
            <w:r>
              <w:rPr>
                <w:b w:val="false"/>
                <w:bCs w:val="false"/>
                <w:sz w:val="19"/>
                <w:szCs w:val="19"/>
              </w:rPr>
              <w:t xml:space="preserve">0.73</w:t>
            </w:r>
          </w:p>
        </w:tc>
        <w:tc>
          <w:tcPr>
            <w:tcW w:type="dxa" w:w="1350"/>
            <w:tcMar>
              <w:top w:type="dxa" w:w="60"/>
              <w:left w:type="dxa" w:w="90"/>
              <w:bottom w:type="dxa" w:w="60"/>
              <w:right w:type="dxa" w:w="90"/>
            </w:tcMar>
          </w:tcPr>
          <w:p>
            <w:pPr>
              <w:spacing w:after="0"/>
              <w:jc w:val="center"/>
            </w:pPr>
            <w:r>
              <w:rPr>
                <w:b w:val="false"/>
                <w:bCs w:val="false"/>
                <w:sz w:val="19"/>
                <w:szCs w:val="19"/>
              </w:rPr>
              <w:t xml:space="preserve">+7.29</w:t>
            </w:r>
          </w:p>
        </w:tc>
        <w:tc>
          <w:tcPr>
            <w:tcW w:type="dxa" w:w="1350"/>
            <w:tcMar>
              <w:top w:type="dxa" w:w="60"/>
              <w:left w:type="dxa" w:w="90"/>
              <w:bottom w:type="dxa" w:w="60"/>
              <w:right w:type="dxa" w:w="90"/>
            </w:tcMar>
          </w:tcPr>
          <w:p>
            <w:pPr>
              <w:spacing w:after="0"/>
              <w:jc w:val="center"/>
            </w:pPr>
            <w:r>
              <w:rPr>
                <w:b w:val="false"/>
                <w:bCs w:val="false"/>
                <w:sz w:val="19"/>
                <w:szCs w:val="19"/>
              </w:rPr>
              <w:t xml:space="preserve">8e-31</w:t>
            </w:r>
          </w:p>
        </w:tc>
      </w:tr>
      <w:tr>
        <w:tc>
          <w:tcPr>
            <w:tcW w:type="dxa" w:w="3960"/>
            <w:shd w:fill="F8F9FA" w:color="auto" w:val="clear"/>
            <w:tcMar>
              <w:top w:type="dxa" w:w="60"/>
              <w:left w:type="dxa" w:w="90"/>
              <w:bottom w:type="dxa" w:w="60"/>
              <w:right w:type="dxa" w:w="90"/>
            </w:tcMar>
          </w:tcPr>
          <w:p>
            <w:pPr>
              <w:spacing w:after="0"/>
              <w:jc w:val="left"/>
            </w:pPr>
            <w:r>
              <w:rPr>
                <w:b w:val="false"/>
                <w:bCs w:val="false"/>
                <w:sz w:val="19"/>
                <w:szCs w:val="19"/>
              </w:rPr>
              <w:t xml:space="preserve">adding learned weights  (Medoid → KWA)</w:t>
            </w:r>
          </w:p>
        </w:tc>
        <w:tc>
          <w:tcPr>
            <w:tcW w:type="dxa" w:w="1350"/>
            <w:shd w:fill="F8F9FA" w:color="auto" w:val="clear"/>
            <w:tcMar>
              <w:top w:type="dxa" w:w="60"/>
              <w:left w:type="dxa" w:w="90"/>
              <w:bottom w:type="dxa" w:w="60"/>
              <w:right w:type="dxa" w:w="90"/>
            </w:tcMar>
          </w:tcPr>
          <w:p>
            <w:pPr>
              <w:spacing w:after="0"/>
              <w:jc w:val="center"/>
            </w:pPr>
            <w:r>
              <w:rPr>
                <w:b w:val="false"/>
                <w:bCs w:val="false"/>
                <w:sz w:val="19"/>
                <w:szCs w:val="19"/>
              </w:rPr>
              <w:t xml:space="preserve">+3.37</w:t>
            </w:r>
          </w:p>
        </w:tc>
        <w:tc>
          <w:tcPr>
            <w:tcW w:type="dxa" w:w="1350"/>
            <w:shd w:fill="F8F9FA" w:color="auto" w:val="clear"/>
            <w:tcMar>
              <w:top w:type="dxa" w:w="60"/>
              <w:left w:type="dxa" w:w="90"/>
              <w:bottom w:type="dxa" w:w="60"/>
              <w:right w:type="dxa" w:w="90"/>
            </w:tcMar>
          </w:tcPr>
          <w:p>
            <w:pPr>
              <w:spacing w:after="0"/>
              <w:jc w:val="center"/>
            </w:pPr>
            <w:r>
              <w:rPr>
                <w:b w:val="false"/>
                <w:bCs w:val="false"/>
                <w:sz w:val="19"/>
                <w:szCs w:val="19"/>
              </w:rPr>
              <w:t xml:space="preserve">1e-11</w:t>
            </w:r>
          </w:p>
        </w:tc>
        <w:tc>
          <w:tcPr>
            <w:tcW w:type="dxa" w:w="1350"/>
            <w:shd w:fill="F8F9FA" w:color="auto" w:val="clear"/>
            <w:tcMar>
              <w:top w:type="dxa" w:w="60"/>
              <w:left w:type="dxa" w:w="90"/>
              <w:bottom w:type="dxa" w:w="60"/>
              <w:right w:type="dxa" w:w="90"/>
            </w:tcMar>
          </w:tcPr>
          <w:p>
            <w:pPr>
              <w:spacing w:after="0"/>
              <w:jc w:val="center"/>
            </w:pPr>
            <w:r>
              <w:rPr>
                <w:b w:val="false"/>
                <w:bCs w:val="false"/>
                <w:sz w:val="19"/>
                <w:szCs w:val="19"/>
              </w:rPr>
              <w:t xml:space="preserve">−0.76</w:t>
            </w:r>
          </w:p>
        </w:tc>
        <w:tc>
          <w:tcPr>
            <w:tcW w:type="dxa" w:w="1350"/>
            <w:shd w:fill="F8F9FA" w:color="auto" w:val="clear"/>
            <w:tcMar>
              <w:top w:type="dxa" w:w="60"/>
              <w:left w:type="dxa" w:w="90"/>
              <w:bottom w:type="dxa" w:w="60"/>
              <w:right w:type="dxa" w:w="90"/>
            </w:tcMar>
          </w:tcPr>
          <w:p>
            <w:pPr>
              <w:spacing w:after="0"/>
              <w:jc w:val="center"/>
            </w:pPr>
            <w:r>
              <w:rPr>
                <w:b w:val="false"/>
                <w:bCs w:val="false"/>
                <w:sz w:val="19"/>
                <w:szCs w:val="19"/>
              </w:rPr>
              <w:t xml:space="preserve">0.13</w:t>
            </w:r>
          </w:p>
        </w:tc>
      </w:tr>
      <w:tr>
        <w:tc>
          <w:tcPr>
            <w:tcW w:type="dxa" w:w="3960"/>
            <w:tcMar>
              <w:top w:type="dxa" w:w="60"/>
              <w:left w:type="dxa" w:w="90"/>
              <w:bottom w:type="dxa" w:w="60"/>
              <w:right w:type="dxa" w:w="90"/>
            </w:tcMar>
          </w:tcPr>
          <w:p>
            <w:pPr>
              <w:spacing w:after="0"/>
              <w:jc w:val="left"/>
            </w:pPr>
            <w:r>
              <w:rPr>
                <w:b w:val="false"/>
                <w:bCs w:val="false"/>
                <w:sz w:val="19"/>
                <w:szCs w:val="19"/>
              </w:rPr>
              <w:t xml:space="preserve">total   (MV → KWA)</w:t>
            </w:r>
          </w:p>
        </w:tc>
        <w:tc>
          <w:tcPr>
            <w:tcW w:type="dxa" w:w="1350"/>
            <w:tcMar>
              <w:top w:type="dxa" w:w="60"/>
              <w:left w:type="dxa" w:w="90"/>
              <w:bottom w:type="dxa" w:w="60"/>
              <w:right w:type="dxa" w:w="90"/>
            </w:tcMar>
          </w:tcPr>
          <w:p>
            <w:pPr>
              <w:spacing w:after="0"/>
              <w:jc w:val="center"/>
            </w:pPr>
            <w:r>
              <w:rPr>
                <w:b w:val="false"/>
                <w:bCs w:val="false"/>
                <w:sz w:val="19"/>
                <w:szCs w:val="19"/>
              </w:rPr>
              <w:t xml:space="preserve">+3.23</w:t>
            </w:r>
          </w:p>
        </w:tc>
        <w:tc>
          <w:tcPr>
            <w:tcW w:type="dxa" w:w="1350"/>
            <w:tcMar>
              <w:top w:type="dxa" w:w="60"/>
              <w:left w:type="dxa" w:w="90"/>
              <w:bottom w:type="dxa" w:w="60"/>
              <w:right w:type="dxa" w:w="90"/>
            </w:tcMar>
          </w:tcPr>
          <w:p>
            <w:pPr>
              <w:spacing w:after="0"/>
              <w:jc w:val="center"/>
            </w:pPr>
            <w:r>
              <w:rPr>
                <w:b w:val="false"/>
                <w:bCs w:val="false"/>
                <w:sz w:val="19"/>
                <w:szCs w:val="19"/>
              </w:rPr>
              <w:t xml:space="preserve">4e-11</w:t>
            </w:r>
          </w:p>
        </w:tc>
        <w:tc>
          <w:tcPr>
            <w:tcW w:type="dxa" w:w="1350"/>
            <w:tcMar>
              <w:top w:type="dxa" w:w="60"/>
              <w:left w:type="dxa" w:w="90"/>
              <w:bottom w:type="dxa" w:w="60"/>
              <w:right w:type="dxa" w:w="90"/>
            </w:tcMar>
          </w:tcPr>
          <w:p>
            <w:pPr>
              <w:spacing w:after="0"/>
              <w:jc w:val="center"/>
            </w:pPr>
            <w:r>
              <w:rPr>
                <w:b w:val="false"/>
                <w:bCs w:val="false"/>
                <w:sz w:val="19"/>
                <w:szCs w:val="19"/>
              </w:rPr>
              <w:t xml:space="preserve">+6.53</w:t>
            </w:r>
          </w:p>
        </w:tc>
        <w:tc>
          <w:tcPr>
            <w:tcW w:type="dxa" w:w="1350"/>
            <w:tcMar>
              <w:top w:type="dxa" w:w="60"/>
              <w:left w:type="dxa" w:w="90"/>
              <w:bottom w:type="dxa" w:w="60"/>
              <w:right w:type="dxa" w:w="90"/>
            </w:tcMar>
          </w:tcPr>
          <w:p>
            <w:pPr>
              <w:spacing w:after="0"/>
              <w:jc w:val="center"/>
            </w:pPr>
            <w:r>
              <w:rPr>
                <w:b w:val="false"/>
                <w:bCs w:val="false"/>
                <w:sz w:val="19"/>
                <w:szCs w:val="19"/>
              </w:rPr>
              <w:t xml:space="preserve">4e-22</w:t>
            </w:r>
          </w:p>
        </w:tc>
      </w:tr>
    </w:tbl>
    <w:p>
      <w:pPr>
        <w:spacing w:after="100" w:line="276"/>
      </w:pPr>
      <w:r>
        <w:rPr>
          <w:sz w:val="21"/>
          <w:szCs w:val="21"/>
        </w:rPr>
        <w:t xml:space="preserve"/>
      </w:r>
    </w:p>
    <w:p>
      <w:pPr>
        <w:spacing w:after="60" w:before="120"/>
        <w:jc w:val="center"/>
      </w:pPr>
      <w:r>
        <w:drawing>
          <wp:inline distT="0" distB="0" distL="0" distR="0">
            <wp:extent cx="4476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2238375"/>
                    </a:xfrm>
                    <a:prstGeom prst="rect">
                      <a:avLst/>
                    </a:prstGeom>
                  </pic:spPr>
                </pic:pic>
              </a:graphicData>
            </a:graphic>
          </wp:inline>
        </w:drawing>
      </w:r>
    </w:p>
    <w:p>
      <w:pPr>
        <w:spacing w:after="200"/>
        <w:jc w:val="center"/>
      </w:pPr>
      <w:r>
        <w:rPr>
          <w:i/>
          <w:iCs/>
          <w:color w:val="5F6368"/>
          <w:sz w:val="17"/>
          <w:szCs w:val="17"/>
        </w:rPr>
        <w:t xml:space="preserve">Figure 2 — Each ingredient carries the method in one setting and contributes nothing in the other.</w:t>
      </w:r>
    </w:p>
    <w:p>
      <w:pPr>
        <w:spacing w:after="120" w:line="276"/>
      </w:pPr>
      <w:r>
        <w:rPr>
          <w:b/>
          <w:bCs/>
          <w:sz w:val="21"/>
          <w:szCs w:val="21"/>
        </w:rPr>
        <w:t xml:space="preserve">The two halves work in exactly opposite regimes. </w:t>
      </w:r>
      <w:r>
        <w:rPr>
          <w:sz w:val="21"/>
          <w:szCs w:val="21"/>
        </w:rPr>
        <w:t xml:space="preserve">On short answers the kernel contributes nothing (−0.15, p = 0.73) and all of the gain comes from the weights. On full sentences the kernel contributes everything (+7.29) and the weights then give 0.76 points back. In neither setting does the combination beat the better single ingredient, so the central claim of this project — that weighted similarity beats both plain voting and plain similarity — is not supported.</w:t>
      </w:r>
    </w:p>
    <w:p>
      <w:pPr>
        <w:spacing w:after="120" w:line="276"/>
      </w:pPr>
      <w:r>
        <w:rPr>
          <w:b/>
          <w:bCs/>
          <w:sz w:val="21"/>
          <w:szCs w:val="21"/>
        </w:rPr>
        <w:t xml:space="preserve">The stated mechanism prediction was also wrong. </w:t>
      </w:r>
      <w:r>
        <w:rPr>
          <w:sz w:val="21"/>
          <w:szCs w:val="21"/>
        </w:rPr>
        <w:t xml:space="preserve">The kernel's advantage did grow on full-sentence answers, as predicted, but the weighting collapsed there, which was not predicted and cancels the benefit.</w:t>
      </w:r>
    </w:p>
    <w:p>
      <w:pPr>
        <w:pStyle w:val="Heading1"/>
        <w:spacing w:after="140" w:before="320"/>
      </w:pPr>
      <w:r>
        <w:t xml:space="preserve">5. Why the weighting fails on full-sentence answers</w:t>
      </w:r>
    </w:p>
    <w:p>
      <w:pPr>
        <w:spacing w:after="120" w:line="276"/>
      </w:pPr>
      <w:r>
        <w:rPr>
          <w:sz w:val="21"/>
          <w:szCs w:val="21"/>
        </w:rPr>
        <w:t xml:space="preserve">Two measured causes, both specific and at least partly fixable.</w:t>
      </w:r>
    </w:p>
    <w:p>
      <w:pPr>
        <w:spacing w:after="120" w:line="276"/>
      </w:pPr>
      <w:r>
        <w:rPr>
          <w:b/>
          <w:bCs/>
          <w:sz w:val="21"/>
          <w:szCs w:val="21"/>
        </w:rPr>
        <w:t xml:space="preserve">Cause 1 — the estimator starves. </w:t>
      </w:r>
      <w:r>
        <w:rPr>
          <w:sz w:val="21"/>
          <w:szCs w:val="21"/>
        </w:rPr>
        <w:t xml:space="preserve">The EM recovers beta from inter-model agreement. Mean pairwise exact agreement is 0.564 on short answers but only 0.068 on full sentences: models almost never produce identical strings, so there is nothing to estimate from. Three of six betas pinned at the optimiser floor, including llama-3.3-70b — the strongest model, assigned essentially zero 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rPr>
          <w:tblHeader/>
        </w:trPr>
        <w:tc>
          <w:tcPr>
            <w:tcW w:type="dxa" w:w="5360"/>
            <w:shd w:fill="E8F0FE" w:color="auto" w:val="clear"/>
            <w:tcMar>
              <w:top w:type="dxa" w:w="60"/>
              <w:left w:type="dxa" w:w="90"/>
              <w:bottom w:type="dxa" w:w="60"/>
              <w:right w:type="dxa" w:w="90"/>
            </w:tcMar>
          </w:tcPr>
          <w:p>
            <w:pPr>
              <w:spacing w:after="0"/>
              <w:jc w:val="left"/>
            </w:pPr>
            <w:r>
              <w:rPr>
                <w:b/>
                <w:bCs/>
                <w:sz w:val="19"/>
                <w:szCs w:val="19"/>
              </w:rPr>
              <w:t xml:space="preserve"/>
            </w:r>
          </w:p>
        </w:tc>
        <w:tc>
          <w:tcPr>
            <w:tcW w:type="dxa" w:w="2000"/>
            <w:shd w:fill="E8F0FE" w:color="auto" w:val="clear"/>
            <w:tcMar>
              <w:top w:type="dxa" w:w="60"/>
              <w:left w:type="dxa" w:w="90"/>
              <w:bottom w:type="dxa" w:w="60"/>
              <w:right w:type="dxa" w:w="90"/>
            </w:tcMar>
          </w:tcPr>
          <w:p>
            <w:pPr>
              <w:spacing w:after="0"/>
              <w:jc w:val="center"/>
            </w:pPr>
            <w:r>
              <w:rPr>
                <w:b/>
                <w:bCs/>
                <w:sz w:val="19"/>
                <w:szCs w:val="19"/>
              </w:rPr>
              <w:t xml:space="preserve">short-answer</w:t>
            </w:r>
          </w:p>
        </w:tc>
        <w:tc>
          <w:tcPr>
            <w:tcW w:type="dxa" w:w="2000"/>
            <w:shd w:fill="E8F0FE" w:color="auto" w:val="clear"/>
            <w:tcMar>
              <w:top w:type="dxa" w:w="60"/>
              <w:left w:type="dxa" w:w="90"/>
              <w:bottom w:type="dxa" w:w="60"/>
              <w:right w:type="dxa" w:w="90"/>
            </w:tcMar>
          </w:tcPr>
          <w:p>
            <w:pPr>
              <w:spacing w:after="0"/>
              <w:jc w:val="center"/>
            </w:pPr>
            <w:r>
              <w:rPr>
                <w:b/>
                <w:bCs/>
                <w:sz w:val="19"/>
                <w:szCs w:val="19"/>
              </w:rPr>
              <w:t xml:space="preserve">full-sentence</w:t>
            </w:r>
          </w:p>
        </w:tc>
      </w:tr>
      <w:tr>
        <w:tc>
          <w:tcPr>
            <w:tcW w:type="dxa" w:w="5360"/>
            <w:tcMar>
              <w:top w:type="dxa" w:w="60"/>
              <w:left w:type="dxa" w:w="90"/>
              <w:bottom w:type="dxa" w:w="60"/>
              <w:right w:type="dxa" w:w="90"/>
            </w:tcMar>
          </w:tcPr>
          <w:p>
            <w:pPr>
              <w:spacing w:after="0"/>
              <w:jc w:val="left"/>
            </w:pPr>
            <w:r>
              <w:rPr>
                <w:b w:val="false"/>
                <w:bCs w:val="false"/>
                <w:sz w:val="19"/>
                <w:szCs w:val="19"/>
              </w:rPr>
              <w:t xml:space="preserve">mean pairwise exact agreement</w:t>
            </w:r>
          </w:p>
        </w:tc>
        <w:tc>
          <w:tcPr>
            <w:tcW w:type="dxa" w:w="2000"/>
            <w:tcMar>
              <w:top w:type="dxa" w:w="60"/>
              <w:left w:type="dxa" w:w="90"/>
              <w:bottom w:type="dxa" w:w="60"/>
              <w:right w:type="dxa" w:w="90"/>
            </w:tcMar>
          </w:tcPr>
          <w:p>
            <w:pPr>
              <w:spacing w:after="0"/>
              <w:jc w:val="center"/>
            </w:pPr>
            <w:r>
              <w:rPr>
                <w:b w:val="false"/>
                <w:bCs w:val="false"/>
                <w:sz w:val="19"/>
                <w:szCs w:val="19"/>
              </w:rPr>
              <w:t xml:space="preserve">0.564</w:t>
            </w:r>
          </w:p>
        </w:tc>
        <w:tc>
          <w:tcPr>
            <w:tcW w:type="dxa" w:w="2000"/>
            <w:tcMar>
              <w:top w:type="dxa" w:w="60"/>
              <w:left w:type="dxa" w:w="90"/>
              <w:bottom w:type="dxa" w:w="60"/>
              <w:right w:type="dxa" w:w="90"/>
            </w:tcMar>
          </w:tcPr>
          <w:p>
            <w:pPr>
              <w:spacing w:after="0"/>
              <w:jc w:val="center"/>
            </w:pPr>
            <w:r>
              <w:rPr>
                <w:b w:val="false"/>
                <w:bCs w:val="false"/>
                <w:sz w:val="19"/>
                <w:szCs w:val="19"/>
              </w:rPr>
              <w:t xml:space="preserve">0.068</w:t>
            </w:r>
          </w:p>
        </w:tc>
      </w:tr>
      <w:tr>
        <w:tc>
          <w:tcPr>
            <w:tcW w:type="dxa" w:w="5360"/>
            <w:shd w:fill="F8F9FA" w:color="auto" w:val="clear"/>
            <w:tcMar>
              <w:top w:type="dxa" w:w="60"/>
              <w:left w:type="dxa" w:w="90"/>
              <w:bottom w:type="dxa" w:w="60"/>
              <w:right w:type="dxa" w:w="90"/>
            </w:tcMar>
          </w:tcPr>
          <w:p>
            <w:pPr>
              <w:spacing w:after="0"/>
              <w:jc w:val="left"/>
            </w:pPr>
            <w:r>
              <w:rPr>
                <w:b w:val="false"/>
                <w:bCs w:val="false"/>
                <w:sz w:val="19"/>
                <w:szCs w:val="19"/>
              </w:rPr>
              <w:t xml:space="preserve">Spearman(beta estimate, true accuracy)</w:t>
            </w:r>
          </w:p>
        </w:tc>
        <w:tc>
          <w:tcPr>
            <w:tcW w:type="dxa" w:w="2000"/>
            <w:shd w:fill="F8F9FA" w:color="auto" w:val="clear"/>
            <w:tcMar>
              <w:top w:type="dxa" w:w="60"/>
              <w:left w:type="dxa" w:w="90"/>
              <w:bottom w:type="dxa" w:w="60"/>
              <w:right w:type="dxa" w:w="90"/>
            </w:tcMar>
          </w:tcPr>
          <w:p>
            <w:pPr>
              <w:spacing w:after="0"/>
              <w:jc w:val="center"/>
            </w:pPr>
            <w:r>
              <w:rPr>
                <w:b w:val="false"/>
                <w:bCs w:val="false"/>
                <w:sz w:val="19"/>
                <w:szCs w:val="19"/>
              </w:rPr>
              <w:t xml:space="preserve">+0.986</w:t>
            </w:r>
          </w:p>
        </w:tc>
        <w:tc>
          <w:tcPr>
            <w:tcW w:type="dxa" w:w="2000"/>
            <w:shd w:fill="F8F9FA" w:color="auto" w:val="clear"/>
            <w:tcMar>
              <w:top w:type="dxa" w:w="60"/>
              <w:left w:type="dxa" w:w="90"/>
              <w:bottom w:type="dxa" w:w="60"/>
              <w:right w:type="dxa" w:w="90"/>
            </w:tcMar>
          </w:tcPr>
          <w:p>
            <w:pPr>
              <w:spacing w:after="0"/>
              <w:jc w:val="center"/>
            </w:pPr>
            <w:r>
              <w:rPr>
                <w:b w:val="false"/>
                <w:bCs w:val="false"/>
                <w:sz w:val="19"/>
                <w:szCs w:val="19"/>
              </w:rPr>
              <w:t xml:space="preserve">+0.395</w:t>
            </w:r>
          </w:p>
        </w:tc>
      </w:tr>
    </w:tbl>
    <w:p>
      <w:pPr>
        <w:spacing w:after="100" w:line="276"/>
      </w:pPr>
      <w:r>
        <w:rPr>
          <w:sz w:val="21"/>
          <w:szCs w:val="21"/>
        </w:rPr>
        <w:t xml:space="preserve"/>
      </w:r>
    </w:p>
    <w:p>
      <w:pPr>
        <w:spacing w:after="120" w:line="276"/>
      </w:pPr>
      <w:r>
        <w:rPr>
          <w:b/>
          <w:bCs/>
          <w:sz w:val="21"/>
          <w:szCs w:val="21"/>
        </w:rPr>
        <w:t xml:space="preserve">Cause 2 — boilerplate swamps the embedding. </w:t>
      </w:r>
      <w:r>
        <w:rPr>
          <w:sz w:val="21"/>
          <w:szCs w:val="21"/>
        </w:rPr>
        <w:t xml:space="preserve">Full-sentence responses average 24.4 words and share scaffolding (“The answer is X”, “X was the one who…”). The sentence embedding measures that shared format as much as the entity, compressing all pairwise similarities upward and leaving the kernel less than half its discriminating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rPr>
          <w:tblHeader/>
        </w:trPr>
        <w:tc>
          <w:tcPr>
            <w:tcW w:type="dxa" w:w="5360"/>
            <w:shd w:fill="E8F0FE" w:color="auto" w:val="clear"/>
            <w:tcMar>
              <w:top w:type="dxa" w:w="60"/>
              <w:left w:type="dxa" w:w="90"/>
              <w:bottom w:type="dxa" w:w="60"/>
              <w:right w:type="dxa" w:w="90"/>
            </w:tcMar>
          </w:tcPr>
          <w:p>
            <w:pPr>
              <w:spacing w:after="0"/>
              <w:jc w:val="left"/>
            </w:pPr>
            <w:r>
              <w:rPr>
                <w:b/>
                <w:bCs/>
                <w:sz w:val="19"/>
                <w:szCs w:val="19"/>
              </w:rPr>
              <w:t xml:space="preserve"/>
            </w:r>
          </w:p>
        </w:tc>
        <w:tc>
          <w:tcPr>
            <w:tcW w:type="dxa" w:w="2000"/>
            <w:shd w:fill="E8F0FE" w:color="auto" w:val="clear"/>
            <w:tcMar>
              <w:top w:type="dxa" w:w="60"/>
              <w:left w:type="dxa" w:w="90"/>
              <w:bottom w:type="dxa" w:w="60"/>
              <w:right w:type="dxa" w:w="90"/>
            </w:tcMar>
          </w:tcPr>
          <w:p>
            <w:pPr>
              <w:spacing w:after="0"/>
              <w:jc w:val="center"/>
            </w:pPr>
            <w:r>
              <w:rPr>
                <w:b/>
                <w:bCs/>
                <w:sz w:val="19"/>
                <w:szCs w:val="19"/>
              </w:rPr>
              <w:t xml:space="preserve">short-answer</w:t>
            </w:r>
          </w:p>
        </w:tc>
        <w:tc>
          <w:tcPr>
            <w:tcW w:type="dxa" w:w="2000"/>
            <w:shd w:fill="E8F0FE" w:color="auto" w:val="clear"/>
            <w:tcMar>
              <w:top w:type="dxa" w:w="60"/>
              <w:left w:type="dxa" w:w="90"/>
              <w:bottom w:type="dxa" w:w="60"/>
              <w:right w:type="dxa" w:w="90"/>
            </w:tcMar>
          </w:tcPr>
          <w:p>
            <w:pPr>
              <w:spacing w:after="0"/>
              <w:jc w:val="center"/>
            </w:pPr>
            <w:r>
              <w:rPr>
                <w:b/>
                <w:bCs/>
                <w:sz w:val="19"/>
                <w:szCs w:val="19"/>
              </w:rPr>
              <w:t xml:space="preserve">full-sentence</w:t>
            </w:r>
          </w:p>
        </w:tc>
      </w:tr>
      <w:tr>
        <w:tc>
          <w:tcPr>
            <w:tcW w:type="dxa" w:w="5360"/>
            <w:tcMar>
              <w:top w:type="dxa" w:w="60"/>
              <w:left w:type="dxa" w:w="90"/>
              <w:bottom w:type="dxa" w:w="60"/>
              <w:right w:type="dxa" w:w="90"/>
            </w:tcMar>
          </w:tcPr>
          <w:p>
            <w:pPr>
              <w:spacing w:after="0"/>
              <w:jc w:val="left"/>
            </w:pPr>
            <w:r>
              <w:rPr>
                <w:b w:val="false"/>
                <w:bCs w:val="false"/>
                <w:sz w:val="19"/>
                <w:szCs w:val="19"/>
              </w:rPr>
              <w:t xml:space="preserve">mean answer length</w:t>
            </w:r>
          </w:p>
        </w:tc>
        <w:tc>
          <w:tcPr>
            <w:tcW w:type="dxa" w:w="2000"/>
            <w:tcMar>
              <w:top w:type="dxa" w:w="60"/>
              <w:left w:type="dxa" w:w="90"/>
              <w:bottom w:type="dxa" w:w="60"/>
              <w:right w:type="dxa" w:w="90"/>
            </w:tcMar>
          </w:tcPr>
          <w:p>
            <w:pPr>
              <w:spacing w:after="0"/>
              <w:jc w:val="center"/>
            </w:pPr>
            <w:r>
              <w:rPr>
                <w:b w:val="false"/>
                <w:bCs w:val="false"/>
                <w:sz w:val="19"/>
                <w:szCs w:val="19"/>
              </w:rPr>
              <w:t xml:space="preserve">2.1 words</w:t>
            </w:r>
          </w:p>
        </w:tc>
        <w:tc>
          <w:tcPr>
            <w:tcW w:type="dxa" w:w="2000"/>
            <w:tcMar>
              <w:top w:type="dxa" w:w="60"/>
              <w:left w:type="dxa" w:w="90"/>
              <w:bottom w:type="dxa" w:w="60"/>
              <w:right w:type="dxa" w:w="90"/>
            </w:tcMar>
          </w:tcPr>
          <w:p>
            <w:pPr>
              <w:spacing w:after="0"/>
              <w:jc w:val="center"/>
            </w:pPr>
            <w:r>
              <w:rPr>
                <w:b w:val="false"/>
                <w:bCs w:val="false"/>
                <w:sz w:val="19"/>
                <w:szCs w:val="19"/>
              </w:rPr>
              <w:t xml:space="preserve">24.4 words</w:t>
            </w:r>
          </w:p>
        </w:tc>
      </w:tr>
      <w:tr>
        <w:tc>
          <w:tcPr>
            <w:tcW w:type="dxa" w:w="5360"/>
            <w:shd w:fill="F8F9FA" w:color="auto" w:val="clear"/>
            <w:tcMar>
              <w:top w:type="dxa" w:w="60"/>
              <w:left w:type="dxa" w:w="90"/>
              <w:bottom w:type="dxa" w:w="60"/>
              <w:right w:type="dxa" w:w="90"/>
            </w:tcMar>
          </w:tcPr>
          <w:p>
            <w:pPr>
              <w:spacing w:after="0"/>
              <w:jc w:val="left"/>
            </w:pPr>
            <w:r>
              <w:rPr>
                <w:b w:val="false"/>
                <w:bCs w:val="false"/>
                <w:sz w:val="19"/>
                <w:szCs w:val="19"/>
              </w:rPr>
              <w:t xml:space="preserve">mean similarity between any two candidates</w:t>
            </w:r>
          </w:p>
        </w:tc>
        <w:tc>
          <w:tcPr>
            <w:tcW w:type="dxa" w:w="2000"/>
            <w:shd w:fill="F8F9FA" w:color="auto" w:val="clear"/>
            <w:tcMar>
              <w:top w:type="dxa" w:w="60"/>
              <w:left w:type="dxa" w:w="90"/>
              <w:bottom w:type="dxa" w:w="60"/>
              <w:right w:type="dxa" w:w="90"/>
            </w:tcMar>
          </w:tcPr>
          <w:p>
            <w:pPr>
              <w:spacing w:after="0"/>
              <w:jc w:val="center"/>
            </w:pPr>
            <w:r>
              <w:rPr>
                <w:b w:val="false"/>
                <w:bCs w:val="false"/>
                <w:sz w:val="19"/>
                <w:szCs w:val="19"/>
              </w:rPr>
              <w:t xml:space="preserve">0.474</w:t>
            </w:r>
          </w:p>
        </w:tc>
        <w:tc>
          <w:tcPr>
            <w:tcW w:type="dxa" w:w="2000"/>
            <w:shd w:fill="F8F9FA" w:color="auto" w:val="clear"/>
            <w:tcMar>
              <w:top w:type="dxa" w:w="60"/>
              <w:left w:type="dxa" w:w="90"/>
              <w:bottom w:type="dxa" w:w="60"/>
              <w:right w:type="dxa" w:w="90"/>
            </w:tcMar>
          </w:tcPr>
          <w:p>
            <w:pPr>
              <w:spacing w:after="0"/>
              <w:jc w:val="center"/>
            </w:pPr>
            <w:r>
              <w:rPr>
                <w:b w:val="false"/>
                <w:bCs w:val="false"/>
                <w:sz w:val="19"/>
                <w:szCs w:val="19"/>
              </w:rPr>
              <w:t xml:space="preserve">0.777</w:t>
            </w:r>
          </w:p>
        </w:tc>
      </w:tr>
      <w:tr>
        <w:tc>
          <w:tcPr>
            <w:tcW w:type="dxa" w:w="5360"/>
            <w:tcMar>
              <w:top w:type="dxa" w:w="60"/>
              <w:left w:type="dxa" w:w="90"/>
              <w:bottom w:type="dxa" w:w="60"/>
              <w:right w:type="dxa" w:w="90"/>
            </w:tcMar>
          </w:tcPr>
          <w:p>
            <w:pPr>
              <w:spacing w:after="0"/>
              <w:jc w:val="left"/>
            </w:pPr>
            <w:r>
              <w:rPr>
                <w:b w:val="false"/>
                <w:bCs w:val="false"/>
                <w:sz w:val="19"/>
                <w:szCs w:val="19"/>
              </w:rPr>
              <w:t xml:space="preserve">similarity spread available to the kernel</w:t>
            </w:r>
          </w:p>
        </w:tc>
        <w:tc>
          <w:tcPr>
            <w:tcW w:type="dxa" w:w="2000"/>
            <w:tcMar>
              <w:top w:type="dxa" w:w="60"/>
              <w:left w:type="dxa" w:w="90"/>
              <w:bottom w:type="dxa" w:w="60"/>
              <w:right w:type="dxa" w:w="90"/>
            </w:tcMar>
          </w:tcPr>
          <w:p>
            <w:pPr>
              <w:spacing w:after="0"/>
              <w:jc w:val="center"/>
            </w:pPr>
            <w:r>
              <w:rPr>
                <w:b w:val="false"/>
                <w:bCs w:val="false"/>
                <w:sz w:val="19"/>
                <w:szCs w:val="19"/>
              </w:rPr>
              <w:t xml:space="preserve">0.526</w:t>
            </w:r>
          </w:p>
        </w:tc>
        <w:tc>
          <w:tcPr>
            <w:tcW w:type="dxa" w:w="2000"/>
            <w:tcMar>
              <w:top w:type="dxa" w:w="60"/>
              <w:left w:type="dxa" w:w="90"/>
              <w:bottom w:type="dxa" w:w="60"/>
              <w:right w:type="dxa" w:w="90"/>
            </w:tcMar>
          </w:tcPr>
          <w:p>
            <w:pPr>
              <w:spacing w:after="0"/>
              <w:jc w:val="center"/>
            </w:pPr>
            <w:r>
              <w:rPr>
                <w:b w:val="false"/>
                <w:bCs w:val="false"/>
                <w:sz w:val="19"/>
                <w:szCs w:val="19"/>
              </w:rPr>
              <w:t xml:space="preserve">0.223</w:t>
            </w:r>
          </w:p>
        </w:tc>
      </w:tr>
    </w:tbl>
    <w:p>
      <w:pPr>
        <w:spacing w:after="100" w:line="276"/>
      </w:pPr>
      <w:r>
        <w:rPr>
          <w:sz w:val="21"/>
          <w:szCs w:val="21"/>
        </w:rPr>
        <w:t xml:space="preserve"/>
      </w:r>
    </w:p>
    <w:p>
      <w:pPr>
        <w:spacing w:after="120" w:line="276"/>
      </w:pPr>
      <w:r>
        <w:rPr>
          <w:sz w:val="21"/>
          <w:szCs w:val="21"/>
        </w:rPr>
        <w:t xml:space="preserve">Cause 2 suggests a concrete fix that has not yet been tested: compute similarity on an extracted answer span rather than the full response. That is a preprocessing change, not a change to the method.</w:t>
      </w:r>
    </w:p>
    <w:p>
      <w:pPr>
        <w:spacing w:after="120" w:line="276"/>
      </w:pPr>
      <w:r>
        <w:rPr>
          <w:b/>
          <w:bCs/>
          <w:sz w:val="21"/>
          <w:szCs w:val="21"/>
        </w:rPr>
        <w:t xml:space="preserve">One genuine positive: </w:t>
      </w:r>
      <w:r>
        <w:rPr>
          <w:sz w:val="21"/>
          <w:szCs w:val="21"/>
        </w:rPr>
        <w:t xml:space="preserve">where agreement exists, label-free skill estimation works well. On short answers the estimator ranks the six models at Spearman +0.986 against their true accuracies, having never seen a correct answer. It also correctly identified the single best model in both conditions. That capability stands independently of the aggregation result.</w:t>
      </w:r>
    </w:p>
    <w:p>
      <w:pPr>
        <w:pStyle w:val="Heading1"/>
        <w:spacing w:after="140" w:before="320"/>
      </w:pPr>
      <w:r>
        <w:t xml:space="preserve">6. A structural ceiling that binds every method</w:t>
      </w:r>
    </w:p>
    <w:p>
      <w:pPr>
        <w:spacing w:after="120" w:line="276"/>
      </w:pPr>
      <w:r>
        <w:rPr>
          <w:sz w:val="21"/>
          <w:szCs w:val="21"/>
        </w:rPr>
        <w:t xml:space="preserve">Beyond the method's own problems, the benchmark caps how much any aggregator can win. The assumption underneath this entire literature is that models err independently given the truth. They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shd w:fill="E8F0FE" w:color="auto" w:val="clear"/>
            <w:tcMar>
              <w:top w:type="dxa" w:w="60"/>
              <w:left w:type="dxa" w:w="90"/>
              <w:bottom w:type="dxa" w:w="60"/>
              <w:right w:type="dxa" w:w="90"/>
            </w:tcMar>
          </w:tcPr>
          <w:p>
            <w:pPr>
              <w:spacing w:after="0"/>
              <w:jc w:val="left"/>
            </w:pPr>
            <w:r>
              <w:rPr>
                <w:b/>
                <w:bCs/>
                <w:sz w:val="19"/>
                <w:szCs w:val="19"/>
              </w:rPr>
              <w:t xml:space="preserve">P(all 6 models wrong)</w:t>
            </w:r>
          </w:p>
        </w:tc>
        <w:tc>
          <w:tcPr>
            <w:tcW w:type="dxa" w:w="2000"/>
            <w:shd w:fill="E8F0FE" w:color="auto" w:val="clear"/>
            <w:tcMar>
              <w:top w:type="dxa" w:w="60"/>
              <w:left w:type="dxa" w:w="90"/>
              <w:bottom w:type="dxa" w:w="60"/>
              <w:right w:type="dxa" w:w="90"/>
            </w:tcMar>
          </w:tcPr>
          <w:p>
            <w:pPr>
              <w:spacing w:after="0"/>
              <w:jc w:val="center"/>
            </w:pPr>
            <w:r>
              <w:rPr>
                <w:b/>
                <w:bCs/>
                <w:sz w:val="19"/>
                <w:szCs w:val="19"/>
              </w:rPr>
              <w:t xml:space="preserve">observed</w:t>
            </w:r>
          </w:p>
        </w:tc>
        <w:tc>
          <w:tcPr>
            <w:tcW w:type="dxa" w:w="2000"/>
            <w:shd w:fill="E8F0FE" w:color="auto" w:val="clear"/>
            <w:tcMar>
              <w:top w:type="dxa" w:w="60"/>
              <w:left w:type="dxa" w:w="90"/>
              <w:bottom w:type="dxa" w:w="60"/>
              <w:right w:type="dxa" w:w="90"/>
            </w:tcMar>
          </w:tcPr>
          <w:p>
            <w:pPr>
              <w:spacing w:after="0"/>
              <w:jc w:val="center"/>
            </w:pPr>
            <w:r>
              <w:rPr>
                <w:b/>
                <w:bCs/>
                <w:sz w:val="19"/>
                <w:szCs w:val="19"/>
              </w:rPr>
              <w:t xml:space="preserve">if independent</w:t>
            </w:r>
          </w:p>
        </w:tc>
        <w:tc>
          <w:tcPr>
            <w:tcW w:type="dxa" w:w="2000"/>
            <w:shd w:fill="E8F0FE" w:color="auto" w:val="clear"/>
            <w:tcMar>
              <w:top w:type="dxa" w:w="60"/>
              <w:left w:type="dxa" w:w="90"/>
              <w:bottom w:type="dxa" w:w="60"/>
              <w:right w:type="dxa" w:w="90"/>
            </w:tcMar>
          </w:tcPr>
          <w:p>
            <w:pPr>
              <w:spacing w:after="0"/>
              <w:jc w:val="center"/>
            </w:pPr>
            <w:r>
              <w:rPr>
                <w:b/>
                <w:bCs/>
                <w:sz w:val="19"/>
                <w:szCs w:val="19"/>
              </w:rPr>
              <w:t xml:space="preserve">ratio</w:t>
            </w:r>
          </w:p>
        </w:tc>
      </w:tr>
      <w:tr>
        <w:tc>
          <w:tcPr>
            <w:tcW w:type="dxa" w:w="3360"/>
            <w:tcMar>
              <w:top w:type="dxa" w:w="60"/>
              <w:left w:type="dxa" w:w="90"/>
              <w:bottom w:type="dxa" w:w="60"/>
              <w:right w:type="dxa" w:w="90"/>
            </w:tcMar>
          </w:tcPr>
          <w:p>
            <w:pPr>
              <w:spacing w:after="0"/>
              <w:jc w:val="left"/>
            </w:pPr>
            <w:r>
              <w:rPr>
                <w:b w:val="false"/>
                <w:bCs w:val="false"/>
                <w:sz w:val="19"/>
                <w:szCs w:val="19"/>
              </w:rPr>
              <w:t xml:space="preserve">short-answer</w:t>
            </w:r>
          </w:p>
        </w:tc>
        <w:tc>
          <w:tcPr>
            <w:tcW w:type="dxa" w:w="2000"/>
            <w:tcMar>
              <w:top w:type="dxa" w:w="60"/>
              <w:left w:type="dxa" w:w="90"/>
              <w:bottom w:type="dxa" w:w="60"/>
              <w:right w:type="dxa" w:w="90"/>
            </w:tcMar>
          </w:tcPr>
          <w:p>
            <w:pPr>
              <w:spacing w:after="0"/>
              <w:jc w:val="center"/>
            </w:pPr>
            <w:r>
              <w:rPr>
                <w:b w:val="false"/>
                <w:bCs w:val="false"/>
                <w:sz w:val="19"/>
                <w:szCs w:val="19"/>
              </w:rPr>
              <w:t xml:space="preserve">7.04%</w:t>
            </w:r>
          </w:p>
        </w:tc>
        <w:tc>
          <w:tcPr>
            <w:tcW w:type="dxa" w:w="2000"/>
            <w:tcMar>
              <w:top w:type="dxa" w:w="60"/>
              <w:left w:type="dxa" w:w="90"/>
              <w:bottom w:type="dxa" w:w="60"/>
              <w:right w:type="dxa" w:w="90"/>
            </w:tcMar>
          </w:tcPr>
          <w:p>
            <w:pPr>
              <w:spacing w:after="0"/>
              <w:jc w:val="center"/>
            </w:pPr>
            <w:r>
              <w:rPr>
                <w:b w:val="false"/>
                <w:bCs w:val="false"/>
                <w:sz w:val="19"/>
                <w:szCs w:val="19"/>
              </w:rPr>
              <w:t xml:space="preserve">0.033%</w:t>
            </w:r>
          </w:p>
        </w:tc>
        <w:tc>
          <w:tcPr>
            <w:tcW w:type="dxa" w:w="2000"/>
            <w:tcMar>
              <w:top w:type="dxa" w:w="60"/>
              <w:left w:type="dxa" w:w="90"/>
              <w:bottom w:type="dxa" w:w="60"/>
              <w:right w:type="dxa" w:w="90"/>
            </w:tcMar>
          </w:tcPr>
          <w:p>
            <w:pPr>
              <w:spacing w:after="0"/>
              <w:jc w:val="center"/>
            </w:pPr>
            <w:r>
              <w:rPr>
                <w:b w:val="false"/>
                <w:bCs w:val="false"/>
                <w:sz w:val="19"/>
                <w:szCs w:val="19"/>
              </w:rPr>
              <w:t xml:space="preserve">215x</w:t>
            </w:r>
          </w:p>
        </w:tc>
      </w:tr>
      <w:tr>
        <w:tc>
          <w:tcPr>
            <w:tcW w:type="dxa" w:w="3360"/>
            <w:shd w:fill="F8F9FA" w:color="auto" w:val="clear"/>
            <w:tcMar>
              <w:top w:type="dxa" w:w="60"/>
              <w:left w:type="dxa" w:w="90"/>
              <w:bottom w:type="dxa" w:w="60"/>
              <w:right w:type="dxa" w:w="90"/>
            </w:tcMar>
          </w:tcPr>
          <w:p>
            <w:pPr>
              <w:spacing w:after="0"/>
              <w:jc w:val="left"/>
            </w:pPr>
            <w:r>
              <w:rPr>
                <w:b w:val="false"/>
                <w:bCs w:val="false"/>
                <w:sz w:val="19"/>
                <w:szCs w:val="19"/>
              </w:rPr>
              <w:t xml:space="preserve">full-sentence</w:t>
            </w:r>
          </w:p>
        </w:tc>
        <w:tc>
          <w:tcPr>
            <w:tcW w:type="dxa" w:w="2000"/>
            <w:shd w:fill="F8F9FA" w:color="auto" w:val="clear"/>
            <w:tcMar>
              <w:top w:type="dxa" w:w="60"/>
              <w:left w:type="dxa" w:w="90"/>
              <w:bottom w:type="dxa" w:w="60"/>
              <w:right w:type="dxa" w:w="90"/>
            </w:tcMar>
          </w:tcPr>
          <w:p>
            <w:pPr>
              <w:spacing w:after="0"/>
              <w:jc w:val="center"/>
            </w:pPr>
            <w:r>
              <w:rPr>
                <w:b w:val="false"/>
                <w:bCs w:val="false"/>
                <w:sz w:val="19"/>
                <w:szCs w:val="19"/>
              </w:rPr>
              <w:t xml:space="preserve">5.48%</w:t>
            </w:r>
          </w:p>
        </w:tc>
        <w:tc>
          <w:tcPr>
            <w:tcW w:type="dxa" w:w="2000"/>
            <w:shd w:fill="F8F9FA" w:color="auto" w:val="clear"/>
            <w:tcMar>
              <w:top w:type="dxa" w:w="60"/>
              <w:left w:type="dxa" w:w="90"/>
              <w:bottom w:type="dxa" w:w="60"/>
              <w:right w:type="dxa" w:w="90"/>
            </w:tcMar>
          </w:tcPr>
          <w:p>
            <w:pPr>
              <w:spacing w:after="0"/>
              <w:jc w:val="center"/>
            </w:pPr>
            <w:r>
              <w:rPr>
                <w:b w:val="false"/>
                <w:bCs w:val="false"/>
                <w:sz w:val="19"/>
                <w:szCs w:val="19"/>
              </w:rPr>
              <w:t xml:space="preserve">0.009%</w:t>
            </w:r>
          </w:p>
        </w:tc>
        <w:tc>
          <w:tcPr>
            <w:tcW w:type="dxa" w:w="2000"/>
            <w:shd w:fill="F8F9FA" w:color="auto" w:val="clear"/>
            <w:tcMar>
              <w:top w:type="dxa" w:w="60"/>
              <w:left w:type="dxa" w:w="90"/>
              <w:bottom w:type="dxa" w:w="60"/>
              <w:right w:type="dxa" w:w="90"/>
            </w:tcMar>
          </w:tcPr>
          <w:p>
            <w:pPr>
              <w:spacing w:after="0"/>
              <w:jc w:val="center"/>
            </w:pPr>
            <w:r>
              <w:rPr>
                <w:b w:val="false"/>
                <w:bCs w:val="false"/>
                <w:sz w:val="19"/>
                <w:szCs w:val="19"/>
              </w:rPr>
              <w:t xml:space="preserve">621x</w:t>
            </w:r>
          </w:p>
        </w:tc>
      </w:tr>
    </w:tbl>
    <w:p>
      <w:pPr>
        <w:spacing w:after="100" w:line="276"/>
      </w:pPr>
      <w:r>
        <w:rPr>
          <w:sz w:val="21"/>
          <w:szCs w:val="21"/>
        </w:rPr>
        <w:t xml:space="preserve"/>
      </w:r>
    </w:p>
    <w:p>
      <w:pPr>
        <w:spacing w:after="120" w:line="276"/>
      </w:pPr>
      <w:r>
        <w:rPr>
          <w:sz w:val="21"/>
          <w:szCs w:val="21"/>
        </w:rPr>
        <w:t xml:space="preserve">Errors are correlated by two to three orders of magnitude — the models fail together on hard questions and succeed together on easy ones. Six models behave like far fewer independent voters. The consequence is arithmetic:</w:t>
      </w:r>
    </w:p>
    <w:p>
      <w:pPr>
        <w:spacing w:after="50" w:before="50"/>
        <w:ind w:left="360"/>
      </w:pPr>
      <w:r>
        <w:rPr>
          <w:rFonts w:ascii="Menlo" w:cs="Menlo" w:eastAsia="Menlo" w:hAnsi="Menlo"/>
          <w:color w:val="202124"/>
          <w:sz w:val="18"/>
          <w:szCs w:val="18"/>
        </w:rPr>
        <w:t xml:space="preserve">all 6 right   42.6%   -&gt; every method wins, aggregation irrelevant</w:t>
      </w:r>
    </w:p>
    <w:p>
      <w:pPr>
        <w:spacing w:after="50" w:before="50"/>
        <w:ind w:left="360"/>
      </w:pPr>
      <w:r>
        <w:rPr>
          <w:rFonts w:ascii="Menlo" w:cs="Menlo" w:eastAsia="Menlo" w:hAnsi="Menlo"/>
          <w:color w:val="202124"/>
          <w:sz w:val="18"/>
          <w:szCs w:val="18"/>
        </w:rPr>
        <w:t xml:space="preserve">all 6 wrong    7.0%   -&gt; no method can win, the answer is not in the pool</w:t>
      </w:r>
    </w:p>
    <w:p>
      <w:pPr>
        <w:spacing w:after="50" w:before="50"/>
        <w:ind w:left="360"/>
      </w:pPr>
      <w:r>
        <w:rPr>
          <w:rFonts w:ascii="Menlo" w:cs="Menlo" w:eastAsia="Menlo" w:hAnsi="Menlo"/>
          <w:color w:val="202124"/>
          <w:sz w:val="18"/>
          <w:szCs w:val="18"/>
        </w:rPr>
        <w:t xml:space="preserve">mixed         50.3%   -&gt; the only battleground</w:t>
      </w:r>
    </w:p>
    <w:p>
      <w:pPr>
        <w:spacing w:after="50" w:before="50"/>
        <w:ind w:left="360"/>
      </w:pPr>
      <w:r>
        <w:rPr>
          <w:rFonts w:ascii="Menlo" w:cs="Menlo" w:eastAsia="Menlo" w:hAnsi="Menlo"/>
          <w:color w:val="202124"/>
          <w:sz w:val="18"/>
          <w:szCs w:val="18"/>
        </w:rPr>
        <w:t xml:space="preserve"/>
      </w:r>
    </w:p>
    <w:p>
      <w:pPr>
        <w:spacing w:after="50" w:before="50"/>
        <w:ind w:left="360"/>
      </w:pPr>
      <w:r>
        <w:rPr>
          <w:rFonts w:ascii="Menlo" w:cs="Menlo" w:eastAsia="Menlo" w:hAnsi="Menlo"/>
          <w:color w:val="202124"/>
          <w:sz w:val="18"/>
          <w:szCs w:val="18"/>
        </w:rPr>
        <w:t xml:space="preserve">on the battleground the best single model is already right 86.7% of the time</w:t>
      </w:r>
    </w:p>
    <w:p>
      <w:pPr>
        <w:spacing w:after="50" w:before="50"/>
        <w:ind w:left="360"/>
      </w:pPr>
      <w:r>
        <w:rPr>
          <w:rFonts w:ascii="Menlo" w:cs="Menlo" w:eastAsia="Menlo" w:hAnsi="Menlo"/>
          <w:color w:val="202124"/>
          <w:sz w:val="18"/>
          <w:szCs w:val="18"/>
        </w:rPr>
        <w:t xml:space="preserve">TOTAL headroom for ANY aggregator:  6.67 points (short-answer), 4.32 points (full-sentence)</w:t>
      </w:r>
    </w:p>
    <w:p>
      <w:pPr>
        <w:spacing w:after="120" w:line="276"/>
      </w:pPr>
      <w:r>
        <w:rPr>
          <w:sz w:val="21"/>
          <w:szCs w:val="21"/>
        </w:rPr>
        <w:t xml:space="preserve">And on the questions that are actually winnable, the correct answer is held by a mean of 1.88 models out of 6 — a minority. Winning them requires systematically overruling a 4–2 or 5–1 majority, which is precisely what vote-based methods are built not to do, and which no label-free weight estimate is confident enough to justify.</w:t>
      </w:r>
    </w:p>
    <w:p>
      <w:pPr>
        <w:spacing w:after="120" w:line="276"/>
      </w:pPr>
      <w:r>
        <w:rPr>
          <w:b/>
          <w:bCs/>
          <w:sz w:val="21"/>
          <w:szCs w:val="21"/>
        </w:rPr>
        <w:t xml:space="preserve">This applies to the published methods too, not just to this one, </w:t>
      </w:r>
      <w:r>
        <w:rPr>
          <w:sz w:val="21"/>
          <w:szCs w:val="21"/>
        </w:rPr>
        <w:t xml:space="preserve">and it explains the paper's own MMLU result, where their strongest single model (91.02%) beat every method they proposed (90.37%).</w:t>
      </w:r>
    </w:p>
    <w:p>
      <w:pPr>
        <w:pStyle w:val="Heading1"/>
        <w:spacing w:after="140" w:before="320"/>
      </w:pPr>
      <w:r>
        <w:t xml:space="preserve">7. Threats to validity</w:t>
      </w:r>
    </w:p>
    <w:p>
      <w:pPr>
        <w:pStyle w:val="ListParagraph"/>
        <w:numPr>
          <w:ilvl w:val="0"/>
          <w:numId w:val="2"/>
        </w:numPr>
        <w:spacing w:after="80" w:line="264"/>
      </w:pPr>
      <w:r>
        <w:rPr>
          <w:sz w:val="21"/>
          <w:szCs w:val="21"/>
        </w:rPr>
        <w:t xml:space="preserve">Grading is generous. An answer counts if any alias appears as a substring, so “not Paris, but London” scores a hit on London. Needed for the full-sentence setting, where answers are embedded in sentences, but not audited.</w:t>
      </w:r>
    </w:p>
    <w:p>
      <w:pPr>
        <w:pStyle w:val="ListParagraph"/>
        <w:numPr>
          <w:ilvl w:val="0"/>
          <w:numId w:val="2"/>
        </w:numPr>
        <w:spacing w:after="80" w:line="264"/>
      </w:pPr>
      <w:r>
        <w:rPr>
          <w:sz w:val="21"/>
          <w:szCs w:val="21"/>
        </w:rPr>
        <w:t xml:space="preserve">List questions are graded wrongly. TriviaQA contains items such as “name the 9 countries bordering Germany”. The gold answer is a 9-item list and the matcher looks for one contiguous string, so these can never be scored correct. The output cap (16 tokens short-answer, 64 full-sentence) also truncates them mid-list. The affected fraction has not been measured; it adds noise to every method equally but the exact numbers should not be trusted until it is.</w:t>
      </w:r>
    </w:p>
    <w:p>
      <w:pPr>
        <w:pStyle w:val="ListParagraph"/>
        <w:numPr>
          <w:ilvl w:val="0"/>
          <w:numId w:val="2"/>
        </w:numPr>
        <w:spacing w:after="80" w:line="264"/>
      </w:pPr>
      <w:r>
        <w:rPr>
          <w:sz w:val="21"/>
          <w:szCs w:val="21"/>
        </w:rPr>
        <w:t xml:space="preserve">One benchmark, one domain. TriviaQA factoid answers are close to binary right/wrong, which gives a similarity kernel little graded middle ground to exploit. A task with genuinely partial credit would be a fairer test of the kernel and has not been run.</w:t>
      </w:r>
    </w:p>
    <w:p>
      <w:pPr>
        <w:pStyle w:val="ListParagraph"/>
        <w:numPr>
          <w:ilvl w:val="0"/>
          <w:numId w:val="2"/>
        </w:numPr>
        <w:spacing w:after="80" w:line="264"/>
      </w:pPr>
      <w:r>
        <w:rPr>
          <w:sz w:val="21"/>
          <w:szCs w:val="21"/>
        </w:rPr>
        <w:t xml:space="preserve">One embedding model (all-MiniLM-L6-v2). Absolute similarity values are encoder-specific.</w:t>
      </w:r>
    </w:p>
    <w:p>
      <w:pPr>
        <w:pStyle w:val="ListParagraph"/>
        <w:numPr>
          <w:ilvl w:val="0"/>
          <w:numId w:val="2"/>
        </w:numPr>
        <w:spacing w:after="80" w:line="264"/>
      </w:pPr>
      <w:r>
        <w:rPr>
          <w:sz w:val="21"/>
          <w:szCs w:val="21"/>
        </w:rPr>
        <w:t xml:space="preserve">Six models from four families, all instruction-tuned and broadly contemporary. A more diverse ensemble would have less correlated errors and more headroom.</w:t>
      </w:r>
    </w:p>
    <w:p>
      <w:pPr>
        <w:pStyle w:val="Heading1"/>
        <w:spacing w:after="140" w:before="320"/>
      </w:pPr>
      <w:r>
        <w:t xml:space="preserve">8. Conclusions</w:t>
      </w:r>
    </w:p>
    <w:p>
      <w:pPr>
        <w:spacing w:after="120" w:line="276"/>
      </w:pPr>
      <w:r>
        <w:rPr>
          <w:b/>
          <w:bCs/>
          <w:color w:val="0B8043"/>
          <w:sz w:val="21"/>
          <w:szCs w:val="21"/>
        </w:rPr>
        <w:t xml:space="preserve">Supported: </w:t>
      </w:r>
      <w:r>
        <w:rPr>
          <w:sz w:val="21"/>
          <w:szCs w:val="21"/>
        </w:rPr>
        <w:t xml:space="preserve">similarity-aware selection substantially beats exact-match voting on open-ended answers — +7.3 points when answers are verbose, at p &lt; 1e-30, on 2,757 real questions. That is a real and useful result, and it argues that the field's current default (cluster-then-vote) is leaving points on the table.</w:t>
      </w:r>
    </w:p>
    <w:p>
      <w:pPr>
        <w:spacing w:after="120" w:line="276"/>
      </w:pPr>
      <w:r>
        <w:rPr>
          <w:b/>
          <w:bCs/>
          <w:color w:val="B3261E"/>
          <w:sz w:val="21"/>
          <w:szCs w:val="21"/>
        </w:rPr>
        <w:t xml:space="preserve">Not supported: </w:t>
      </w:r>
      <w:r>
        <w:rPr>
          <w:sz w:val="21"/>
          <w:szCs w:val="21"/>
        </w:rPr>
        <w:t xml:space="preserve">the specific contribution of this project. Weighted similarity never beat the better of its two ingredients. On full-sentence answers the unweighted medoid — three lines of code, no estimation — outperforms it.</w:t>
      </w:r>
    </w:p>
    <w:p>
      <w:pPr>
        <w:spacing w:after="120" w:line="276"/>
      </w:pPr>
      <w:r>
        <w:rPr>
          <w:b/>
          <w:bCs/>
          <w:sz w:val="21"/>
          <w:szCs w:val="21"/>
        </w:rPr>
        <w:t xml:space="preserve">Independently useful: </w:t>
      </w:r>
      <w:r>
        <w:rPr>
          <w:sz w:val="21"/>
          <w:szCs w:val="21"/>
        </w:rPr>
        <w:t xml:space="preserve">label-free skill estimation works where inter-model agreement exists (Spearman +0.986) and correctly identified the best model without labels in both conditions. That is arguably a more practical deliverable than the aggregation itself.</w:t>
      </w:r>
    </w:p>
    <w:p>
      <w:pPr>
        <w:pStyle w:val="Heading2"/>
        <w:spacing w:after="100" w:before="240"/>
      </w:pPr>
      <w:r>
        <w:t xml:space="preserve">Next steps, in priority order</w:t>
      </w:r>
    </w:p>
    <w:p>
      <w:pPr>
        <w:pStyle w:val="ListParagraph"/>
        <w:numPr>
          <w:ilvl w:val="0"/>
          <w:numId w:val="2"/>
        </w:numPr>
        <w:spacing w:after="80" w:line="264"/>
      </w:pPr>
      <w:r>
        <w:rPr>
          <w:sz w:val="21"/>
          <w:szCs w:val="21"/>
        </w:rPr>
        <w:t xml:space="preserve">Test the extraction fix. Compute similarity on an extracted answer span rather than the whole response, and re-run the full-sentence setting. This directly tests whether the weighting failure is a preprocessing bug or a real limitation, and it is free.</w:t>
      </w:r>
    </w:p>
    <w:p>
      <w:pPr>
        <w:pStyle w:val="ListParagraph"/>
        <w:numPr>
          <w:ilvl w:val="0"/>
          <w:numId w:val="2"/>
        </w:numPr>
        <w:spacing w:after="80" w:line="264"/>
      </w:pPr>
      <w:r>
        <w:rPr>
          <w:sz w:val="21"/>
          <w:szCs w:val="21"/>
        </w:rPr>
        <w:t xml:space="preserve">Beat the medoid or drop the weighting. The medoid is now the bar. If weights cannot beat it after the extraction fix, the honest paper is about similarity-aware selection, not about weighted similarity.</w:t>
      </w:r>
    </w:p>
    <w:p>
      <w:pPr>
        <w:pStyle w:val="ListParagraph"/>
        <w:numPr>
          <w:ilvl w:val="0"/>
          <w:numId w:val="2"/>
        </w:numPr>
        <w:spacing w:after="80" w:line="264"/>
      </w:pPr>
      <w:r>
        <w:rPr>
          <w:sz w:val="21"/>
          <w:szCs w:val="21"/>
        </w:rPr>
        <w:t xml:space="preserve">Report the correlated-error ceiling. The finding that errors correlate 215–621x more than assumed, and that this caps all aggregation at 4–7 points, is a result about the field rather than about any one method, and is worth writing up on its own.</w:t>
      </w:r>
    </w:p>
    <w:p>
      <w:pPr>
        <w:pStyle w:val="ListParagraph"/>
        <w:numPr>
          <w:ilvl w:val="0"/>
          <w:numId w:val="2"/>
        </w:numPr>
        <w:spacing w:after="80" w:line="264"/>
      </w:pPr>
      <w:r>
        <w:rPr>
          <w:sz w:val="21"/>
          <w:szCs w:val="21"/>
        </w:rPr>
        <w:t xml:space="preserve">Fix the grading harness before quoting exact numbers — audit list questions and substring false positives.</w:t>
      </w:r>
    </w:p>
    <w:p>
      <w:pPr>
        <w:pStyle w:val="ListParagraph"/>
        <w:numPr>
          <w:ilvl w:val="0"/>
          <w:numId w:val="2"/>
        </w:numPr>
        <w:spacing w:after="80" w:line="264"/>
      </w:pPr>
      <w:r>
        <w:rPr>
          <w:sz w:val="21"/>
          <w:szCs w:val="21"/>
        </w:rPr>
        <w:t xml:space="preserve">Test on a task with graded correctness, where a similarity kernel has room to work.</w:t>
      </w:r>
    </w:p>
    <w:p>
      <w:pPr>
        <w:pBdr>
          <w:bottom w:val="single" w:color="DADCE0" w:sz="6" w:space="6"/>
        </w:pBdr>
        <w:spacing w:after="120" w:before="240"/>
      </w:pPr>
      <w:r>
        <w:rPr>
          <w:sz w:val="2"/>
          <w:szCs w:val="2"/>
        </w:rPr>
        <w:t xml:space="preserve"/>
      </w:r>
    </w:p>
    <w:p>
      <w:pPr>
        <w:spacing w:after="120" w:line="276"/>
      </w:pPr>
      <w:r>
        <w:rPr>
          <w:color w:val="5F6368"/>
          <w:sz w:val="18"/>
          <w:szCs w:val="18"/>
        </w:rPr>
        <w:t xml:space="preserve">Reproduction: </w:t>
      </w:r>
      <w:r>
        <w:rPr>
          <w:rFonts w:ascii="Menlo" w:cs="Menlo" w:eastAsia="Menlo" w:hAnsi="Menlo"/>
          <w:sz w:val="18"/>
          <w:szCs w:val="18"/>
        </w:rPr>
        <w:t xml:space="preserve">generate.py</w:t>
      </w:r>
      <w:r>
        <w:rPr>
          <w:color w:val="5F6368"/>
          <w:sz w:val="18"/>
          <w:szCs w:val="18"/>
        </w:rPr>
        <w:t xml:space="preserve"> (generation, resumable), </w:t>
      </w:r>
      <w:r>
        <w:rPr>
          <w:rFonts w:ascii="Menlo" w:cs="Menlo" w:eastAsia="Menlo" w:hAnsi="Menlo"/>
          <w:sz w:val="18"/>
          <w:szCs w:val="18"/>
        </w:rPr>
        <w:t xml:space="preserve">analyze_real.py</w:t>
      </w:r>
      <w:r>
        <w:rPr>
          <w:color w:val="5F6368"/>
          <w:sz w:val="18"/>
          <w:szCs w:val="18"/>
        </w:rPr>
        <w:t xml:space="preserve"> (aggregators and scoring), </w:t>
      </w:r>
      <w:r>
        <w:rPr>
          <w:rFonts w:ascii="Menlo" w:cs="Menlo" w:eastAsia="Menlo" w:hAnsi="Menlo"/>
          <w:sz w:val="18"/>
          <w:szCs w:val="18"/>
        </w:rPr>
        <w:t xml:space="preserve">kernel_agg.py</w:t>
      </w:r>
      <w:r>
        <w:rPr>
          <w:color w:val="5F6368"/>
          <w:sz w:val="18"/>
          <w:szCs w:val="18"/>
        </w:rPr>
        <w:t xml:space="preserve"> (library), </w:t>
      </w:r>
      <w:r>
        <w:rPr>
          <w:rFonts w:ascii="Menlo" w:cs="Menlo" w:eastAsia="Menlo" w:hAnsi="Menlo"/>
          <w:sz w:val="18"/>
          <w:szCs w:val="18"/>
        </w:rPr>
        <w:t xml:space="preserve">data/gen_full.jsonl</w:t>
      </w:r>
      <w:r>
        <w:rPr>
          <w:color w:val="5F6368"/>
          <w:sz w:val="18"/>
          <w:szCs w:val="18"/>
        </w:rPr>
        <w:t xml:space="preserve"> (all 36,000 raw responses), </w:t>
      </w:r>
      <w:r>
        <w:rPr>
          <w:rFonts w:ascii="Menlo" w:cs="Menlo" w:eastAsia="Menlo" w:hAnsi="Menlo"/>
          <w:sz w:val="18"/>
          <w:szCs w:val="18"/>
        </w:rPr>
        <w:t xml:space="preserve">FINDINGS.md</w:t>
      </w:r>
      <w:r>
        <w:rPr>
          <w:color w:val="5F6368"/>
          <w:sz w:val="18"/>
          <w:szCs w:val="18"/>
        </w:rPr>
        <w:t xml:space="preserve"> (synthetic and proxy work preceding this).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202124"/>
      <w:sz w:val="30"/>
      <w:szCs w:val="30"/>
    </w:rPr>
  </w:style>
  <w:style w:type="paragraph" w:styleId="Heading2">
    <w:name w:val="Heading 2"/>
    <w:basedOn w:val="Normal"/>
    <w:next w:val="Normal"/>
    <w:qFormat/>
    <w:rPr>
      <w:b/>
      <w:bCs/>
      <w:color w:val="1A73E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dfae6669e7f85f67d970bd7e51c8420f6667a78.png"/><Relationship Id="rId8" Type="http://schemas.openxmlformats.org/officeDocument/2006/relationships/image" Target="media/d1020392d5cd14e3cea6dd7b8c6a40bb6ee73eb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Kernel-Weighted Aggregation: Real-Data Experiment Report</dc:title>
  <dc:creator>Un-named</dc:creator>
  <cp:lastModifiedBy>Un-named</cp:lastModifiedBy>
  <cp:revision>1</cp:revision>
  <dcterms:created xsi:type="dcterms:W3CDTF">2026-08-13T00:51:38.879Z</dcterms:created>
  <dcterms:modified xsi:type="dcterms:W3CDTF">2026-08-13T00:51:38.900Z</dcterms:modified>
</cp:coreProperties>
</file>

<file path=docProps/custom.xml><?xml version="1.0" encoding="utf-8"?>
<Properties xmlns="http://schemas.openxmlformats.org/officeDocument/2006/custom-properties" xmlns:vt="http://schemas.openxmlformats.org/officeDocument/2006/docPropsVTypes"/>
</file>