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FCC0" w14:textId="77777777" w:rsidR="00221FA0" w:rsidRDefault="00221FA0">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CONSULTING</w:t>
      </w:r>
      <w:r>
        <w:rPr>
          <w:rFonts w:ascii="Times" w:eastAsia="Times" w:hAnsi="Times" w:cs="Times"/>
          <w:b/>
          <w:bCs/>
          <w:color w:val="000000"/>
        </w:rPr>
        <w:t xml:space="preserve"> AGREEMENT</w:t>
      </w:r>
    </w:p>
    <w:p w14:paraId="1012187C" w14:textId="77777777" w:rsidR="00221FA0" w:rsidRDefault="00221FA0"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CONSULTING</w:t>
      </w:r>
      <w:r>
        <w:rPr>
          <w:rFonts w:ascii="Times" w:eastAsia="Times" w:hAnsi="Times" w:cs="Times"/>
          <w:b/>
          <w:bCs/>
          <w:color w:val="000000"/>
        </w:rPr>
        <w:t xml:space="preserve"> AGREEMENT (the "Agreement")  dated </w:t>
      </w:r>
      <w:r w:rsidRPr="005D7A6F">
        <w:rPr>
          <w:rFonts w:ascii="Times" w:eastAsia="Times" w:hAnsi="Times" w:cs="Times"/>
          <w:b/>
          <w:bCs/>
          <w:noProof/>
          <w:color w:val="000000"/>
        </w:rPr>
        <w:t>July 1, 2018</w:t>
      </w:r>
      <w:r>
        <w:rPr>
          <w:rFonts w:ascii="Times" w:eastAsia="Times" w:hAnsi="Times" w:cs="Times"/>
          <w:b/>
          <w:bCs/>
          <w:color w:val="000000"/>
        </w:rPr>
        <w:br/>
      </w:r>
      <w:r>
        <w:rPr>
          <w:rFonts w:ascii="Times" w:eastAsia="Times" w:hAnsi="Times" w:cs="Times"/>
          <w:b/>
          <w:bCs/>
          <w:color w:val="000000"/>
        </w:rPr>
        <w:br/>
        <w:t>BETWEEN:</w:t>
      </w:r>
    </w:p>
    <w:p w14:paraId="21421282" w14:textId="77777777" w:rsidR="00221FA0" w:rsidRDefault="00221FA0">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Fabrikam Industries</w:t>
      </w:r>
      <w:r>
        <w:rPr>
          <w:rFonts w:ascii="Times" w:eastAsia="Times" w:hAnsi="Times" w:cs="Times"/>
          <w:color w:val="000000"/>
        </w:rPr>
        <w:t xml:space="preserve"> of </w:t>
      </w:r>
      <w:r w:rsidRPr="005D7A6F">
        <w:rPr>
          <w:rFonts w:ascii="Times" w:eastAsia="Times" w:hAnsi="Times" w:cs="Times"/>
          <w:noProof/>
          <w:color w:val="000000"/>
        </w:rPr>
        <w:t>4220 Industrial Parkway</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t xml:space="preserve">(the "Client") </w:t>
      </w:r>
    </w:p>
    <w:p w14:paraId="7ECCC74F" w14:textId="77777777" w:rsidR="00221FA0" w:rsidRDefault="00221FA0">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110729D9" w14:textId="77777777" w:rsidR="00221FA0" w:rsidRDefault="00221FA0">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Lynne Robbins</w:t>
      </w:r>
      <w:r>
        <w:rPr>
          <w:rFonts w:ascii="Times" w:eastAsia="Times" w:hAnsi="Times" w:cs="Times"/>
          <w:color w:val="000000"/>
        </w:rPr>
        <w:t xml:space="preserve"> of </w:t>
      </w:r>
      <w:r w:rsidRPr="005D7A6F">
        <w:rPr>
          <w:rFonts w:ascii="Times" w:eastAsia="Times" w:hAnsi="Times" w:cs="Times"/>
          <w:noProof/>
          <w:color w:val="000000"/>
        </w:rPr>
        <w:t>10 Woodgrove Way, Bellevue, WA 98004</w:t>
      </w:r>
      <w:r>
        <w:rPr>
          <w:rFonts w:ascii="Times" w:eastAsia="Times" w:hAnsi="Times" w:cs="Times"/>
          <w:color w:val="000000"/>
        </w:rPr>
        <w:br/>
        <w:t xml:space="preserve">(the "Contractor"). </w:t>
      </w:r>
    </w:p>
    <w:p w14:paraId="5ADD1EF4" w14:textId="77777777" w:rsidR="00221FA0" w:rsidRDefault="00221FA0">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6FF96E86" w14:textId="77777777" w:rsidR="00221FA0" w:rsidRDefault="00221FA0">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The Client is of the opinion that the Contractor has the necessary qualifications, experience and abilities to provide services to the Client.</w:t>
      </w:r>
    </w:p>
    <w:p w14:paraId="4F11FC7F" w14:textId="77777777" w:rsidR="00221FA0" w:rsidRDefault="00221FA0">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00106AAF" w14:textId="77777777" w:rsidR="00221FA0" w:rsidRDefault="00221FA0">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10D96730"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7F5844F9" w14:textId="77777777" w:rsidR="00221FA0" w:rsidRDefault="00221FA0">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785AF637" w14:textId="77777777" w:rsidR="00221FA0" w:rsidRDefault="00221FA0">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Catering</w:t>
      </w:r>
      <w:r>
        <w:rPr>
          <w:rFonts w:ascii="Times" w:eastAsia="Times" w:hAnsi="Times" w:cs="Times"/>
          <w:color w:val="000000"/>
        </w:rPr>
        <w:t xml:space="preserve"> services for the Client.</w:t>
      </w:r>
    </w:p>
    <w:p w14:paraId="54A48A0D"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4750E81E"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05E5A71C"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6489957"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In the event that either Party wishes to terminate this Agreement prior to completion of the Services, that Party will be required to provide at least 15 days' notice to the other Party.</w:t>
      </w:r>
    </w:p>
    <w:p w14:paraId="3A2F72FA"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495AA887"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3600165D"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3C66C706"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4DEE17D5"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42151A60"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34000</w:t>
      </w:r>
      <w:r>
        <w:rPr>
          <w:rFonts w:ascii="Times" w:eastAsia="Times" w:hAnsi="Times" w:cs="Times"/>
          <w:color w:val="000000"/>
        </w:rPr>
        <w:t>.</w:t>
      </w:r>
    </w:p>
    <w:p w14:paraId="3EA1A01A"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5987ED5F"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4EAA2CE1"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718885A2"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1D7B8626"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26D621AB"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7FD669FE" w14:textId="77777777" w:rsidR="00221FA0" w:rsidRDefault="00221FA0">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The Client agrees to provide, for the use of the Contractor in providing the Services, the following resources: </w:t>
      </w:r>
    </w:p>
    <w:p w14:paraId="5FAD4369" w14:textId="77777777" w:rsidR="00221FA0" w:rsidRDefault="00221FA0">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The Client will provide work space and network access.</w:t>
      </w:r>
    </w:p>
    <w:p w14:paraId="15000304"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3C806B3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59D4697"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1DA9D82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17D582EB"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750C40CB"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721E9A43"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1B10F98C"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7542376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0854C942"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37B9A43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67DED25C"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6A390C94" w14:textId="77777777" w:rsidR="00221FA0" w:rsidRPr="00E2568E"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29A47EF5" w14:textId="77777777" w:rsidR="00221FA0" w:rsidRPr="004F3E8C"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Massachusetts</w:t>
      </w:r>
      <w:r>
        <w:rPr>
          <w:rFonts w:ascii="Times" w:eastAsia="Times" w:hAnsi="Times" w:cs="Times"/>
          <w:color w:val="000000"/>
        </w:rPr>
        <w:t>.</w:t>
      </w:r>
    </w:p>
    <w:p w14:paraId="26A733C7"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777A2AA9" w14:textId="77777777" w:rsidR="00221FA0" w:rsidRDefault="00221FA0">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24C39FA4" w14:textId="77777777" w:rsidR="00221FA0" w:rsidRDefault="00221FA0">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Fabrikam Industries</w:t>
      </w:r>
      <w:r>
        <w:rPr>
          <w:rFonts w:ascii="Times" w:eastAsia="Times" w:hAnsi="Times" w:cs="Times"/>
          <w:color w:val="000000"/>
        </w:rPr>
        <w:br/>
      </w:r>
      <w:r w:rsidRPr="005D7A6F">
        <w:rPr>
          <w:rFonts w:ascii="Times" w:eastAsia="Times" w:hAnsi="Times" w:cs="Times"/>
          <w:noProof/>
          <w:color w:val="000000"/>
        </w:rPr>
        <w:t>4220 Industrial Parkway</w:t>
      </w:r>
      <w:r>
        <w:rPr>
          <w:rFonts w:ascii="Times" w:eastAsia="Times" w:hAnsi="Times" w:cs="Times"/>
          <w:color w:val="000000"/>
        </w:rPr>
        <w:t xml:space="preserve">, </w:t>
      </w:r>
      <w:r w:rsidRPr="005D7A6F">
        <w:rPr>
          <w:rFonts w:ascii="Times" w:eastAsia="Times" w:hAnsi="Times" w:cs="Times"/>
          <w:noProof/>
          <w:color w:val="000000"/>
        </w:rPr>
        <w:t>Bothell</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r>
    </w:p>
    <w:p w14:paraId="7FD00EFF" w14:textId="77777777" w:rsidR="00221FA0" w:rsidRDefault="00221FA0">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Lynne Robbins</w:t>
      </w:r>
      <w:r>
        <w:rPr>
          <w:rFonts w:ascii="Times" w:eastAsia="Times" w:hAnsi="Times" w:cs="Times"/>
          <w:color w:val="000000"/>
        </w:rPr>
        <w:br/>
      </w:r>
      <w:r w:rsidRPr="005D7A6F">
        <w:rPr>
          <w:rFonts w:ascii="Times" w:eastAsia="Times" w:hAnsi="Times" w:cs="Times"/>
          <w:noProof/>
          <w:color w:val="000000"/>
        </w:rPr>
        <w:t>10 Woodgrove Way, Bellevue, WA 98004</w:t>
      </w:r>
      <w:r>
        <w:rPr>
          <w:rFonts w:ascii="Times" w:eastAsia="Times" w:hAnsi="Times" w:cs="Times"/>
          <w:color w:val="000000"/>
        </w:rPr>
        <w:br/>
      </w:r>
    </w:p>
    <w:p w14:paraId="6BDC4438" w14:textId="77777777" w:rsidR="00221FA0" w:rsidRDefault="00221FA0">
      <w:pPr>
        <w:spacing w:before="240" w:after="360" w:line="360" w:lineRule="atLeast"/>
        <w:ind w:left="765" w:right="45"/>
        <w:rPr>
          <w:rFonts w:ascii="Times" w:eastAsia="Times" w:hAnsi="Times" w:cs="Times"/>
          <w:color w:val="000000"/>
        </w:rPr>
      </w:pPr>
      <w:r>
        <w:rPr>
          <w:rFonts w:ascii="Times" w:eastAsia="Times" w:hAnsi="Times" w:cs="Times"/>
          <w:color w:val="000000"/>
        </w:rPr>
        <w:t xml:space="preserve">or to such other address as any Party may from time to time notify the other. </w:t>
      </w:r>
    </w:p>
    <w:p w14:paraId="7C3214A5"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284F0B55"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7B728C6C"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7482158D"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D81A80D"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3218CEDE"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legal action is brought to enforce or interpret any term of this Agreement, the prevailing Party will be entitled to recover, in addition to any other damages or award, all reasonable legal costs and fees associated with the action.</w:t>
      </w:r>
    </w:p>
    <w:p w14:paraId="7CC4F3CF"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2ACA523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2EC21314"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6662B816"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743D0B51"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Assignment</w:t>
      </w:r>
    </w:p>
    <w:p w14:paraId="64E80EC5"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not voluntarily, or by operation of law, assign or otherwise transfer its obligations under this Agreement without the prior written consent of the Client.</w:t>
      </w:r>
    </w:p>
    <w:p w14:paraId="358B8E95"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45E9BD00"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agreed that there is no representation, warranty, collateral agreement or condition affecting this Agreement except as expressly provided in this Agreement.</w:t>
      </w:r>
    </w:p>
    <w:p w14:paraId="33047ECB" w14:textId="77777777" w:rsidR="00221FA0" w:rsidRDefault="00221FA0">
      <w:pPr>
        <w:pStyle w:val="lh"/>
        <w:spacing w:before="240" w:after="240" w:line="360" w:lineRule="atLeast"/>
        <w:ind w:left="765" w:right="45"/>
        <w:rPr>
          <w:rFonts w:ascii="Times" w:eastAsia="Times" w:hAnsi="Times" w:cs="Times"/>
          <w:color w:val="000000"/>
        </w:rPr>
      </w:pPr>
      <w:proofErr w:type="spellStart"/>
      <w:r>
        <w:rPr>
          <w:rFonts w:ascii="Times" w:eastAsia="Times" w:hAnsi="Times" w:cs="Times"/>
          <w:color w:val="000000"/>
          <w:u w:val="single" w:color="000000"/>
        </w:rPr>
        <w:t>Enurement</w:t>
      </w:r>
      <w:proofErr w:type="spellEnd"/>
    </w:p>
    <w:p w14:paraId="4E810AC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will </w:t>
      </w:r>
      <w:proofErr w:type="spellStart"/>
      <w:r>
        <w:rPr>
          <w:rFonts w:ascii="Times" w:eastAsia="Times" w:hAnsi="Times" w:cs="Times"/>
          <w:color w:val="000000"/>
        </w:rPr>
        <w:t>enure</w:t>
      </w:r>
      <w:proofErr w:type="spellEnd"/>
      <w:r>
        <w:rPr>
          <w:rFonts w:ascii="Times" w:eastAsia="Times" w:hAnsi="Times" w:cs="Times"/>
          <w:color w:val="000000"/>
        </w:rPr>
        <w:t xml:space="preserve"> to the benefit of and be binding on the Parties and their respective heirs, executors, administrators, successors and permitted assigns.</w:t>
      </w:r>
    </w:p>
    <w:p w14:paraId="4786AC96"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1497D6D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201A334D"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282EDD1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28E4F6E7"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72E0C831"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346CFC8F"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5421BE0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D852390" w14:textId="77777777" w:rsidR="00221FA0" w:rsidRDefault="00221FA0">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67B2042E"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waiver by either Party of a breach, default, delay or omission of any of the provisions of this Agreement by the other Party will not be construed as a waiver of any subsequent breach of the same or other provisions.</w:t>
      </w:r>
    </w:p>
    <w:p w14:paraId="335753BF" w14:textId="77777777" w:rsidR="00221FA0" w:rsidRDefault="00221FA0">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July 1, 2018</w:t>
      </w:r>
      <w:r>
        <w:rPr>
          <w:rFonts w:ascii="Times" w:eastAsia="Times" w:hAnsi="Times" w:cs="Times"/>
          <w:color w:val="000000"/>
        </w:rPr>
        <w:t>.  </w:t>
      </w:r>
    </w:p>
    <w:p w14:paraId="3834839B" w14:textId="77777777" w:rsidR="00221FA0" w:rsidRDefault="00221FA0">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221FA0" w14:paraId="684FFF4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1A99425" w14:textId="77777777" w:rsidR="00221FA0" w:rsidRPr="00C448D1" w:rsidRDefault="00221FA0"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71A52A2D" w14:textId="77777777" w:rsidR="00221FA0" w:rsidRPr="00C448D1" w:rsidRDefault="00221FA0"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Fabrikam Industries</w:t>
            </w:r>
            <w:r w:rsidRPr="00C448D1">
              <w:rPr>
                <w:rFonts w:ascii="Times" w:eastAsia="Times" w:hAnsi="Times" w:cs="Times"/>
                <w:color w:val="000000"/>
              </w:rPr>
              <w:br/>
            </w:r>
            <w:r w:rsidRPr="00C448D1">
              <w:rPr>
                <w:rFonts w:ascii="Times" w:eastAsia="Times" w:hAnsi="Times" w:cs="Times"/>
                <w:color w:val="000000"/>
              </w:rPr>
              <w:br/>
              <w:t xml:space="preserve">Per:____________________________ (Seal) </w:t>
            </w:r>
          </w:p>
        </w:tc>
      </w:tr>
      <w:tr w:rsidR="00221FA0" w14:paraId="14DDE6B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6001153E" w14:textId="77777777" w:rsidR="00221FA0" w:rsidRPr="00C448D1" w:rsidRDefault="00221FA0"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2498CC2F" w14:textId="77777777" w:rsidR="00221FA0" w:rsidRPr="00C448D1" w:rsidRDefault="00221FA0"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Lynne Robbins</w:t>
            </w:r>
          </w:p>
        </w:tc>
      </w:tr>
    </w:tbl>
    <w:p w14:paraId="1FE7CFF2" w14:textId="77777777" w:rsidR="00BA331B" w:rsidRPr="00221FA0" w:rsidRDefault="00BA331B" w:rsidP="00221FA0"/>
    <w:sectPr w:rsidR="00BA331B" w:rsidRPr="00221FA0" w:rsidSect="00221FA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1DEE" w14:textId="77777777" w:rsidR="002D7230" w:rsidRDefault="002D7230">
      <w:r>
        <w:separator/>
      </w:r>
    </w:p>
  </w:endnote>
  <w:endnote w:type="continuationSeparator" w:id="0">
    <w:p w14:paraId="667965A5" w14:textId="77777777" w:rsidR="002D7230" w:rsidRDefault="002D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0B3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657BF24" w14:textId="77777777">
      <w:trPr>
        <w:cantSplit/>
      </w:trPr>
      <w:tc>
        <w:tcPr>
          <w:tcW w:w="3300" w:type="pct"/>
          <w:tcBorders>
            <w:top w:val="nil"/>
            <w:left w:val="nil"/>
            <w:bottom w:val="nil"/>
            <w:right w:val="nil"/>
          </w:tcBorders>
          <w:vAlign w:val="bottom"/>
        </w:tcPr>
        <w:p w14:paraId="57A56D18"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0570B4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0F4C8B98"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B7FA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BF141" w14:textId="77777777" w:rsidR="002D7230" w:rsidRDefault="002D7230">
      <w:r>
        <w:separator/>
      </w:r>
    </w:p>
  </w:footnote>
  <w:footnote w:type="continuationSeparator" w:id="0">
    <w:p w14:paraId="084FB4DD" w14:textId="77777777" w:rsidR="002D7230" w:rsidRDefault="002D7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D88D"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1F423"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D122"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A3A43B22">
      <w:start w:val="1"/>
      <w:numFmt w:val="bullet"/>
      <w:lvlText w:val=""/>
      <w:lvlJc w:val="left"/>
      <w:pPr>
        <w:tabs>
          <w:tab w:val="num" w:pos="720"/>
        </w:tabs>
        <w:ind w:left="720" w:hanging="360"/>
      </w:pPr>
      <w:rPr>
        <w:rFonts w:ascii="Symbol" w:hAnsi="Symbol"/>
      </w:rPr>
    </w:lvl>
    <w:lvl w:ilvl="1" w:tplc="D4C6416A">
      <w:start w:val="1"/>
      <w:numFmt w:val="bullet"/>
      <w:lvlText w:val=""/>
      <w:lvlJc w:val="left"/>
      <w:pPr>
        <w:ind w:left="1440" w:hanging="360"/>
      </w:pPr>
      <w:rPr>
        <w:rFonts w:ascii="Symbol" w:hAnsi="Symbol"/>
      </w:rPr>
    </w:lvl>
    <w:lvl w:ilvl="2" w:tplc="08EEF08C">
      <w:start w:val="1"/>
      <w:numFmt w:val="bullet"/>
      <w:lvlText w:val=""/>
      <w:lvlJc w:val="left"/>
      <w:pPr>
        <w:tabs>
          <w:tab w:val="num" w:pos="2160"/>
        </w:tabs>
        <w:ind w:left="2160" w:hanging="360"/>
      </w:pPr>
      <w:rPr>
        <w:rFonts w:ascii="Wingdings" w:hAnsi="Wingdings"/>
      </w:rPr>
    </w:lvl>
    <w:lvl w:ilvl="3" w:tplc="C864320C">
      <w:start w:val="1"/>
      <w:numFmt w:val="bullet"/>
      <w:lvlText w:val=""/>
      <w:lvlJc w:val="left"/>
      <w:pPr>
        <w:tabs>
          <w:tab w:val="num" w:pos="2880"/>
        </w:tabs>
        <w:ind w:left="2880" w:hanging="360"/>
      </w:pPr>
      <w:rPr>
        <w:rFonts w:ascii="Symbol" w:hAnsi="Symbol"/>
      </w:rPr>
    </w:lvl>
    <w:lvl w:ilvl="4" w:tplc="44A8663A">
      <w:start w:val="1"/>
      <w:numFmt w:val="bullet"/>
      <w:lvlText w:val="o"/>
      <w:lvlJc w:val="left"/>
      <w:pPr>
        <w:tabs>
          <w:tab w:val="num" w:pos="3600"/>
        </w:tabs>
        <w:ind w:left="3600" w:hanging="360"/>
      </w:pPr>
      <w:rPr>
        <w:rFonts w:ascii="Courier New" w:hAnsi="Courier New"/>
      </w:rPr>
    </w:lvl>
    <w:lvl w:ilvl="5" w:tplc="45CE51D8">
      <w:start w:val="1"/>
      <w:numFmt w:val="bullet"/>
      <w:lvlText w:val=""/>
      <w:lvlJc w:val="left"/>
      <w:pPr>
        <w:tabs>
          <w:tab w:val="num" w:pos="4320"/>
        </w:tabs>
        <w:ind w:left="4320" w:hanging="360"/>
      </w:pPr>
      <w:rPr>
        <w:rFonts w:ascii="Wingdings" w:hAnsi="Wingdings"/>
      </w:rPr>
    </w:lvl>
    <w:lvl w:ilvl="6" w:tplc="4E78EA98">
      <w:start w:val="1"/>
      <w:numFmt w:val="bullet"/>
      <w:lvlText w:val=""/>
      <w:lvlJc w:val="left"/>
      <w:pPr>
        <w:tabs>
          <w:tab w:val="num" w:pos="5040"/>
        </w:tabs>
        <w:ind w:left="5040" w:hanging="360"/>
      </w:pPr>
      <w:rPr>
        <w:rFonts w:ascii="Symbol" w:hAnsi="Symbol"/>
      </w:rPr>
    </w:lvl>
    <w:lvl w:ilvl="7" w:tplc="758CF184">
      <w:start w:val="1"/>
      <w:numFmt w:val="bullet"/>
      <w:lvlText w:val="o"/>
      <w:lvlJc w:val="left"/>
      <w:pPr>
        <w:tabs>
          <w:tab w:val="num" w:pos="5760"/>
        </w:tabs>
        <w:ind w:left="5760" w:hanging="360"/>
      </w:pPr>
      <w:rPr>
        <w:rFonts w:ascii="Courier New" w:hAnsi="Courier New"/>
      </w:rPr>
    </w:lvl>
    <w:lvl w:ilvl="8" w:tplc="0392757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492573374">
    <w:abstractNumId w:val="0"/>
  </w:num>
  <w:num w:numId="2" w16cid:durableId="1584224164">
    <w:abstractNumId w:val="1"/>
  </w:num>
  <w:num w:numId="3" w16cid:durableId="1656182610">
    <w:abstractNumId w:val="2"/>
  </w:num>
  <w:num w:numId="4" w16cid:durableId="881789425">
    <w:abstractNumId w:val="3"/>
  </w:num>
  <w:num w:numId="5" w16cid:durableId="1251964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21FA0"/>
    <w:rsid w:val="002C39B5"/>
    <w:rsid w:val="002D7230"/>
    <w:rsid w:val="004F3E8C"/>
    <w:rsid w:val="00802B33"/>
    <w:rsid w:val="00A77B3E"/>
    <w:rsid w:val="00BA331B"/>
    <w:rsid w:val="00C11686"/>
    <w:rsid w:val="00C448D1"/>
    <w:rsid w:val="00CC52EF"/>
    <w:rsid w:val="00D06D2A"/>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5F1D1"/>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FA80DC91A0D54C984573D9A9B82F29" ma:contentTypeVersion="0" ma:contentTypeDescription="Create a new document." ma:contentTypeScope="" ma:versionID="015ada7631d6525b3136689c350efaf8">
  <xsd:schema xmlns:xsd="http://www.w3.org/2001/XMLSchema" xmlns:xs="http://www.w3.org/2001/XMLSchema" xmlns:p="http://schemas.microsoft.com/office/2006/metadata/properties" xmlns:ns3="d412050d-6c44-4166-b4f6-e417f5e6d09f" targetNamespace="http://schemas.microsoft.com/office/2006/metadata/properties" ma:root="true" ma:fieldsID="108daf481e1637eb1a61e83f5511b140"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d412050d-6c44-4166-b4f6-e417f5e6d09f"/>
  </ds:schemaRefs>
</ds:datastoreItem>
</file>

<file path=customXml/itemProps2.xml><?xml version="1.0" encoding="utf-8"?>
<ds:datastoreItem xmlns:ds="http://schemas.openxmlformats.org/officeDocument/2006/customXml" ds:itemID="{916F2B6D-48E9-4C9D-8F4E-F9A5C37A0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2050d-6c44-4166-b4f6-e417f5e6d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D7029B-96C3-4668-885C-2B95B883D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 - Fabrikam Industries &amp; Lynne Robbins</dc:title>
  <dc:subject/>
  <dc:creator>Chris McNulty</dc:creator>
  <cp:keywords/>
  <cp:lastModifiedBy>Leon Armston</cp:lastModifiedBy>
  <cp:revision>2</cp:revision>
  <cp:lastPrinted>1900-01-01T00:00:00Z</cp:lastPrinted>
  <dcterms:created xsi:type="dcterms:W3CDTF">2020-02-27T17:42:00Z</dcterms:created>
  <dcterms:modified xsi:type="dcterms:W3CDTF">2022-06-12T17:32:00Z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0x010100C3FA80DC91A0D54C984573D9A9B82F29</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2022-01-24T22:24:14Z</vt:filetime>
  </property>
</Properties>
</file>