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Comprehensive Architectural, Operational, and Compliance Blueprint for a Multi-Tenant Salon Management Platform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engineering and deployment of a multi-tenant application tailored for the beauty, wellness, and salon industry demands a sophisticated convergence of complex scheduling algorithms, fintech-level payment orchestration, stringent legal compliance frameworks, and highly resilient offline-first mobile data architectures. This exhaustive report serves as a foundational blueprint for the construction of a salon management platform. It evaluates the existing market topography, establishes the requisite technical and operational specifications derived from current industry data, and definitively answers the core operational inquiry: whether additional research is required before a planning agent can commence autonomous system construction. The analysis concludes that while the current corpus of intelligence comprehensively defines the business logic and structural constraints, profound deficiencies in low-level technical specifications, API contracts, and hardware communication protocols necessitate a rigorous secondary phase of technical research.</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Market Topography and Competitive Feature Parity Analysis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software market catering to the beauty and wellness sector is highly segmented, defined by platforms that have aggressively optimized their architectures for specific operational archetypes ranging from independent solo practitioners to enterprise-level, multi-location franchises. An architectural planning agent must internalize these competitive paradigms to design a system capable of scaling elastically across diverse tenant models without requiring fundamental codebase refactoring.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current landscape is dominated by several entrenched entities, each leveraging a distinct monetization and user-acquisition strategy. GlossGenius and Booksy represent the vanguard of mobile-first, lightweight applications tailored specifically for solo stylists and independent booth renters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These platforms prioritize rapid onboarding, allowing a practitioner to initialize booking and payment processing capabilities within an afternoon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GlossGenius utilizes a flat monthly subscription model (starting at $24 per month) combined with a flat 2.6% payment processing rate, eschewing hidden per-transaction fees, which makes it highly attractive to high-volume, low-ticket service providers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Fresha, conversely, operates on a disruptive, subscription-free model, providing core scheduling features at no monthly cost while monetizing entirely through payment processing (2.29% plus $0.20 per transaction) and a consumer-facing marketplace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Fresha extracts a 20% commission on the first appointment for any new client discovered through its native marketplace, positioning itself as a lead-generation engine rather than merely a logistical tool</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Occupying the middle market, Vagaro caters to growing, multi-chair salons by providing robust multi-provider calendars, integrated payroll tracking, and highly predictable subscription pricing that scales linearly with user count (starting at $30 per month plus $10 per additional calendar)</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Vagaro's tiered processing rates benefit merchants exceeding $4,000 in monthly volume, dropping to 2.2% plus $0.19, making it economically viable for medium-sized enterprises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At the premium echelon, platforms such as Boulevard and Zenoti target upscale luxury salons and enterprise spa groups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Boulevard, starting at approximately $175 per location, justifies its premium pricing through enterprise-grade reporting APIs, highly sophisticated resource management that coordinates rooms and equipment alongside staff schedules, and a frictionless, luxury-oriented client booking flow</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achieve baseline market parity and successfully capture market share, a newly constructed multi-tenant application must support a comprehensive, uncompromising suite of features. The core booking engine requires support for color-coded calendars, custom booking rules, automated waitlist management, and dynamic service duration definitions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scheduling system must mathematically resolve multi-service appointments that incorporate "gap time" or processing time</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For example, if a chemical hair color application requires a 45-minute processing period, the system must autonomously release that 45-minute block on the stylist's calendar, permitting the algorithmic double-booking of a secondary service, such as a men's haircut</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This double-booking architecture must be computationally sound; improper buffer calculations lead to schedule collisions, resulting in severe operational bottlenecks, degraded client experiences, and ultimately, client churn</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The software must include configurable buffer times to account for workstation sanitation and client transitions, ensuring that appointments do not overlap destructively</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Furthermore, the platform must host a robust customer relationship management (CRM) module capable of storing intricate client histories. This includes the retention of highly specific chemical hair color formulas, granular service notes, and comprehensive visual portfolios that track a client's aesthetic evolution over time</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Because client retention is the primary driver of salon profitability, the CRM must seamlessly integrate with automated marketing workflows to trigger rebooking reminders based on specific service maintenance intervals (e.g., prompting a balayage client to rebook at the six-week mark)</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Target Demographic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Monetization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Payment Processing Rate (Card Present)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Standout Architectural Feature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GlossGenius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Solo stylists, booth renters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$24/mo Subscription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2.6% Flat (No transaction fee)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Frictionless mobile-first UI, AI marketing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Fresha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High-volume, budget-focused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Free ($0/mo 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2.29% + $0.20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Native consumer marketplace discovery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Vagaro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2-to-6 chair growing salons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$30/mo + per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2.2% + $0.19 (Large Merchant)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Robust payroll and multi-calendar logic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Boulevard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Premium multi-location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$175+/mo per location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Varies by enterprise plan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Advanced resource/room management APIs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Appy Pie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White-label brand seekers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App builder subscription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0% Platform Commission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AI-generated standalone native apps</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Worker Classification and Legal Data Architecture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most critical architectural constraint in the development of a salon management application is the rigid legal distinction between a statutory employee (W-2) and an independent contractor or booth renter (1099-NEC). The software system functions as the primary legal shield for a salon owner; if the system's payment routing or scheduling logic is improperly designed, it can inadvertently establish an employer-employee relationship, triggering devastating audits by the Internal Revenue Service (IRS) and the Department of Labor</w:t>
      </w:r>
      <w:r w:rsidDel="00000000" w:rsidR="00000000" w:rsidRPr="00000000">
        <w:rPr>
          <w:rFonts w:ascii="Arial" w:cs="Arial" w:eastAsia="Arial" w:hAnsi="Arial"/>
          <w:sz w:val="24"/>
          <w:szCs w:val="24"/>
          <w:vertAlign w:val="superscript"/>
          <w:rtl w:val="0"/>
        </w:rPr>
        <w:t xml:space="preserve">16</w:t>
      </w:r>
      <w:r w:rsidDel="00000000" w:rsidR="00000000" w:rsidRPr="00000000">
        <w:rPr>
          <w:rFonts w:ascii="Arial" w:cs="Arial" w:eastAsia="Arial" w:hAnsi="Arial"/>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IRS utilizes a rigorous common-law test based on behavioral control, financial control, and the type of relationship to determine a worker's accurate classification</w:t>
      </w:r>
      <w:r w:rsidDel="00000000" w:rsidR="00000000" w:rsidRPr="00000000">
        <w:rPr>
          <w:rFonts w:ascii="Arial" w:cs="Arial" w:eastAsia="Arial" w:hAnsi="Arial"/>
          <w:sz w:val="24"/>
          <w:szCs w:val="24"/>
          <w:vertAlign w:val="superscript"/>
          <w:rtl w:val="0"/>
        </w:rPr>
        <w:t xml:space="preserve">17</w:t>
      </w:r>
      <w:r w:rsidDel="00000000" w:rsidR="00000000" w:rsidRPr="00000000">
        <w:rPr>
          <w:rFonts w:ascii="Arial" w:cs="Arial" w:eastAsia="Arial" w:hAnsi="Arial"/>
          <w:rtl w:val="0"/>
        </w:rPr>
        <w:t xml:space="preserve">. In a traditional commission-based salon model, the salon owner explicitly employs the stylists as W-2 workers. Consequently, the salon owner exercises total behavioral and financial control: they dictate the service menu, mandate working hours, provide all backbar chemical supplies, and process all client payments through a central merchant account</w:t>
      </w:r>
      <w:r w:rsidDel="00000000" w:rsidR="00000000" w:rsidRPr="00000000">
        <w:rPr>
          <w:rFonts w:ascii="Arial" w:cs="Arial" w:eastAsia="Arial" w:hAnsi="Arial"/>
          <w:sz w:val="24"/>
          <w:szCs w:val="24"/>
          <w:vertAlign w:val="superscript"/>
          <w:rtl w:val="0"/>
        </w:rPr>
        <w:t xml:space="preserve">18</w:t>
      </w:r>
      <w:r w:rsidDel="00000000" w:rsidR="00000000" w:rsidRPr="00000000">
        <w:rPr>
          <w:rFonts w:ascii="Arial" w:cs="Arial" w:eastAsia="Arial" w:hAnsi="Arial"/>
          <w:rtl w:val="0"/>
        </w:rPr>
        <w:t xml:space="preserve">. The software architecture for this model must aggregate all service and retail revenues into the platform's master account, calculate highly complex commission splits (which historically range from 40% to 55% of total service revenue, augmented by 10% to 15% retail product commissions), and handle integrated, compliant tip reporting for payroll tax deductions</w:t>
      </w:r>
      <w:r w:rsidDel="00000000" w:rsidR="00000000" w:rsidRPr="00000000">
        <w:rPr>
          <w:rFonts w:ascii="Arial" w:cs="Arial" w:eastAsia="Arial" w:hAnsi="Arial"/>
          <w:sz w:val="24"/>
          <w:szCs w:val="24"/>
          <w:vertAlign w:val="superscript"/>
          <w:rtl w:val="0"/>
        </w:rPr>
        <w:t xml:space="preserve">17</w:t>
      </w:r>
      <w:r w:rsidDel="00000000" w:rsidR="00000000" w:rsidRPr="00000000">
        <w:rPr>
          <w:rFonts w:ascii="Arial" w:cs="Arial" w:eastAsia="Arial" w:hAnsi="Arial"/>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Conversely, the booth rental model represents a fundamental shift in the economic hierarchy of the salon. A booth renter operates as a distinct, entirely self-employed micro-enterprise that merely leases commercial real estate (a chair or a private suite) from the salon owner</w:t>
      </w:r>
      <w:r w:rsidDel="00000000" w:rsidR="00000000" w:rsidRPr="00000000">
        <w:rPr>
          <w:rFonts w:ascii="Arial" w:cs="Arial" w:eastAsia="Arial" w:hAnsi="Arial"/>
          <w:sz w:val="24"/>
          <w:szCs w:val="24"/>
          <w:vertAlign w:val="superscript"/>
          <w:rtl w:val="0"/>
        </w:rPr>
        <w:t xml:space="preserve">16</w:t>
      </w:r>
      <w:r w:rsidDel="00000000" w:rsidR="00000000" w:rsidRPr="00000000">
        <w:rPr>
          <w:rFonts w:ascii="Arial" w:cs="Arial" w:eastAsia="Arial" w:hAnsi="Arial"/>
          <w:rtl w:val="0"/>
        </w:rPr>
        <w:t xml:space="preserve">. To maintain this coveted independent contractor status—and the associated tax benefits, such as deducting booth rent, professional supplies, and health insurance on an IRS Schedule C—the booth renter must exhibit absolute autonomy</w:t>
      </w:r>
      <w:r w:rsidDel="00000000" w:rsidR="00000000" w:rsidRPr="00000000">
        <w:rPr>
          <w:rFonts w:ascii="Arial" w:cs="Arial" w:eastAsia="Arial" w:hAnsi="Arial"/>
          <w:sz w:val="24"/>
          <w:szCs w:val="24"/>
          <w:vertAlign w:val="superscript"/>
          <w:rtl w:val="0"/>
        </w:rPr>
        <w:t xml:space="preserve">16</w:t>
      </w:r>
      <w:r w:rsidDel="00000000" w:rsidR="00000000" w:rsidRPr="00000000">
        <w:rPr>
          <w:rFonts w:ascii="Arial" w:cs="Arial" w:eastAsia="Arial" w:hAnsi="Arial"/>
          <w:rtl w:val="0"/>
        </w:rPr>
        <w:t xml:space="preserve">. They must possess the exclusive authority to set their own pricing structures, define their own operational hours, maintain exclusive proprietary ownership of their client data, and utilize their own chemical products</w:t>
      </w:r>
      <w:r w:rsidDel="00000000" w:rsidR="00000000" w:rsidRPr="00000000">
        <w:rPr>
          <w:rFonts w:ascii="Arial" w:cs="Arial" w:eastAsia="Arial" w:hAnsi="Arial"/>
          <w:sz w:val="24"/>
          <w:szCs w:val="24"/>
          <w:vertAlign w:val="superscript"/>
          <w:rtl w:val="0"/>
        </w:rPr>
        <w:t xml:space="preserve">18</w:t>
      </w:r>
      <w:r w:rsidDel="00000000" w:rsidR="00000000" w:rsidRPr="00000000">
        <w:rPr>
          <w:rFonts w:ascii="Arial" w:cs="Arial" w:eastAsia="Arial" w:hAnsi="Arial"/>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Crucially, the flow of capital must reflect this independence. If a salon owner utilizes software that forces a booth renter's transactions through the owner's central point-of-sale system, only to subsequently pay the renter a percentage "split," the IRS explicitly views this as an illegal misclassification of an employee</w:t>
      </w:r>
      <w:r w:rsidDel="00000000" w:rsidR="00000000" w:rsidRPr="00000000">
        <w:rPr>
          <w:rFonts w:ascii="Arial" w:cs="Arial" w:eastAsia="Arial" w:hAnsi="Arial"/>
          <w:sz w:val="24"/>
          <w:szCs w:val="24"/>
          <w:vertAlign w:val="superscript"/>
          <w:rtl w:val="0"/>
        </w:rPr>
        <w:t xml:space="preserve">18</w:t>
      </w:r>
      <w:r w:rsidDel="00000000" w:rsidR="00000000" w:rsidRPr="00000000">
        <w:rPr>
          <w:rFonts w:ascii="Arial" w:cs="Arial" w:eastAsia="Arial" w:hAnsi="Arial"/>
          <w:rtl w:val="0"/>
        </w:rPr>
        <w:t xml:space="preserve">. The financial penalties for such misclassification under IRC Section 3509 are catastrophic, frequently resulting in liabilities exceeding $50,000 for a small salon, driven by assessments of back FICA taxes, underpayment interest, and severe punitive fines</w:t>
      </w:r>
      <w:r w:rsidDel="00000000" w:rsidR="00000000" w:rsidRPr="00000000">
        <w:rPr>
          <w:rFonts w:ascii="Arial" w:cs="Arial" w:eastAsia="Arial" w:hAnsi="Arial"/>
          <w:sz w:val="24"/>
          <w:szCs w:val="24"/>
          <w:vertAlign w:val="superscript"/>
          <w:rtl w:val="0"/>
        </w:rPr>
        <w:t xml:space="preserve">17</w:t>
      </w:r>
      <w:r w:rsidDel="00000000" w:rsidR="00000000" w:rsidRPr="00000000">
        <w:rPr>
          <w:rFonts w:ascii="Arial" w:cs="Arial" w:eastAsia="Arial" w:hAnsi="Arial"/>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Therefore, the application's multi-tenant architecture must enforce strict, impenetrable logical separation. A single physical salon location configured in the software may host multiple legally independent businesses. The system must provide each booth renter with an isolated, secure instance for scheduling configuration, service pricing, and most importantly, payment routing</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 The software must permit the renter to connect their own independent merchant account so that funds bypass the salon owner's ledger entirely, flowing instantaneously from the client's credit card directly to the booth renter's external bank account</w:t>
      </w:r>
      <w:r w:rsidDel="00000000" w:rsidR="00000000" w:rsidRPr="00000000">
        <w:rPr>
          <w:rFonts w:ascii="Arial" w:cs="Arial" w:eastAsia="Arial" w:hAnsi="Arial"/>
          <w:sz w:val="24"/>
          <w:szCs w:val="24"/>
          <w:vertAlign w:val="superscript"/>
          <w:rtl w:val="0"/>
        </w:rPr>
        <w:t xml:space="preserve">19</w:t>
      </w:r>
      <w:r w:rsidDel="00000000" w:rsidR="00000000" w:rsidRPr="00000000">
        <w:rPr>
          <w:rFonts w:ascii="Arial" w:cs="Arial" w:eastAsia="Arial" w:hAnsi="Arial"/>
          <w:rtl w:val="0"/>
        </w:rPr>
        <w:t xml:space="preserve">. The only financial transaction that should mathematically occur between the renter and the salon owner within the application's ecosystem is the automated, recurring collection of the flat-rate weekly or monthly booth rent</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The architecture must seamlessly support "mixed-model" salons, tracking W-2 commission employees and 1099-NEC independent contractors simultaneously but treating their data and financial flows with distinct, irreconcilable operational logic</w:t>
      </w:r>
      <w:r w:rsidDel="00000000" w:rsidR="00000000" w:rsidRPr="00000000">
        <w:rPr>
          <w:rFonts w:ascii="Arial" w:cs="Arial" w:eastAsia="Arial" w:hAnsi="Arial"/>
          <w:sz w:val="24"/>
          <w:szCs w:val="24"/>
          <w:vertAlign w:val="superscript"/>
          <w:rtl w:val="0"/>
        </w:rPr>
        <w:t xml:space="preserve">17</w:t>
      </w:r>
      <w:r w:rsidDel="00000000" w:rsidR="00000000" w:rsidRPr="00000000">
        <w:rPr>
          <w:rFonts w:ascii="Arial" w:cs="Arial" w:eastAsia="Arial" w:hAnsi="Arial"/>
          <w:rtl w:val="0"/>
        </w:rPr>
        <w:t xml:space="preserv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Fintech Infrastructure and Stripe Connect Orchestration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support the labyrinthine financial routing required by these mixed-model salons, the application must embed a sophisticated payment orchestration layer. Stripe Connect serves as the definitive industry standard for multi-party money movement, allowing the platform to embed complex payment flows, handle global onboarding compliance, and execute programmatic payouts to secondary users</w:t>
      </w: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planning agent must structure the integration around the precise configuration of Stripe Connect account types, balancing user experience against platform liability. While Standard connected accounts require minimal engineering effort and transfer all fraud liability to the end-user, they force the user through a disruptive, Stripe-branded onboarding flow that fractures the application's white-label experience</w:t>
      </w:r>
      <w:r w:rsidDel="00000000" w:rsidR="00000000" w:rsidRPr="00000000">
        <w:rPr>
          <w:rFonts w:ascii="Arial" w:cs="Arial" w:eastAsia="Arial" w:hAnsi="Arial"/>
          <w:sz w:val="24"/>
          <w:szCs w:val="24"/>
          <w:vertAlign w:val="superscript"/>
          <w:rtl w:val="0"/>
        </w:rPr>
        <w:t xml:space="preserve">26</w:t>
      </w:r>
      <w:r w:rsidDel="00000000" w:rsidR="00000000" w:rsidRPr="00000000">
        <w:rPr>
          <w:rFonts w:ascii="Arial" w:cs="Arial" w:eastAsia="Arial" w:hAnsi="Arial"/>
          <w:rtl w:val="0"/>
        </w:rPr>
        <w:t xml:space="preserve">. Custom connected accounts offer total control over the user interface, rendering Stripe invisible to the merchant, but they impose a massive operational burden on the platform, forcing the application developers to build custom interfaces for identity verification, document collection, and assuming absolute financial liability for any negative balances or unrecovered chargebacks</w:t>
      </w:r>
      <w:r w:rsidDel="00000000" w:rsidR="00000000" w:rsidRPr="00000000">
        <w:rPr>
          <w:rFonts w:ascii="Arial" w:cs="Arial" w:eastAsia="Arial" w:hAnsi="Arial"/>
          <w:sz w:val="24"/>
          <w:szCs w:val="24"/>
          <w:vertAlign w:val="superscript"/>
          <w:rtl w:val="0"/>
        </w:rPr>
        <w:t xml:space="preserve">26</w:t>
      </w:r>
      <w:r w:rsidDel="00000000" w:rsidR="00000000" w:rsidRPr="00000000">
        <w:rPr>
          <w:rFonts w:ascii="Arial" w:cs="Arial" w:eastAsia="Arial" w:hAnsi="Arial"/>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For a highly scalable salon application, Express connected accounts represent the optimal architectural vector. Express accounts leverage Stripe-hosted UI components to manage complex, continuously evolving global compliance and KYC (Know Your Customer) requirements, shielding the platform from the engineering overhead of identity verification</w:t>
      </w:r>
      <w:r w:rsidDel="00000000" w:rsidR="00000000" w:rsidRPr="00000000">
        <w:rPr>
          <w:rFonts w:ascii="Arial" w:cs="Arial" w:eastAsia="Arial" w:hAnsi="Arial"/>
          <w:sz w:val="24"/>
          <w:szCs w:val="24"/>
          <w:vertAlign w:val="superscript"/>
          <w:rtl w:val="0"/>
        </w:rPr>
        <w:t xml:space="preserve">26</w:t>
      </w:r>
      <w:r w:rsidDel="00000000" w:rsidR="00000000" w:rsidRPr="00000000">
        <w:rPr>
          <w:rFonts w:ascii="Arial" w:cs="Arial" w:eastAsia="Arial" w:hAnsi="Arial"/>
          <w:rtl w:val="0"/>
        </w:rPr>
        <w:t xml:space="preserve">. Simultaneously, Express accounts grant the platform programmatic authority to dictate payment routing, manipulate payout schedules, and automatically collect application fees</w:t>
      </w: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payment routing execution logic must branch dynamically based on the specific tenant archetype. For independent booth renters operating under the 1099-NEC classification, the system must utilize Direct Charges</w:t>
      </w: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rtl w:val="0"/>
        </w:rPr>
        <w:t xml:space="preserve">. In a Direct Charge paradigm, the client transacts directly with the booth renter's connected Stripe account. The booth renter serves as the legal merchant of record, their business name appears on the client's bank statement, and they bear the ultimate liability for the transaction</w:t>
      </w: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rtl w:val="0"/>
        </w:rPr>
        <w:t xml:space="preserve">. The platform infrastructure can automatically siphon a predefined application fee from these direct charges to monetize the software usage</w:t>
      </w: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Conversely, for commission-based salons employing W-2 workers, the system must execute Destination Charges</w:t>
      </w: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rtl w:val="0"/>
        </w:rPr>
        <w:t xml:space="preserve">. In this architecture, the transaction occurs on the platform's primary merchant account, and a predetermined portion of the funds is subsequently transferred to the salon's connected account</w:t>
      </w: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rtl w:val="0"/>
        </w:rPr>
        <w:t xml:space="preserve">. Utilizing the on_behalf_of parameter within the Stripe API is critical in this scenario; it designates the connected salon as the merchant of record for dispute purposes and ensures the salon's name appears on the customer's credit card statement, rather than the software platform's name</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Dispute and chargeback lifecycle management represents a severe operational vulnerability that must be programmatically mitigated. When a cardholder initiates a dispute, the issuing bank immediately reverses the funds, and Stripe assesses a non-refundable dispute received fee</w:t>
      </w:r>
      <w:r w:rsidDel="00000000" w:rsidR="00000000" w:rsidRPr="00000000">
        <w:rPr>
          <w:rFonts w:ascii="Arial" w:cs="Arial" w:eastAsia="Arial" w:hAnsi="Arial"/>
          <w:sz w:val="24"/>
          <w:szCs w:val="24"/>
          <w:vertAlign w:val="superscript"/>
          <w:rtl w:val="0"/>
        </w:rPr>
        <w:t xml:space="preserve">31</w:t>
      </w:r>
      <w:r w:rsidDel="00000000" w:rsidR="00000000" w:rsidRPr="00000000">
        <w:rPr>
          <w:rFonts w:ascii="Arial" w:cs="Arial" w:eastAsia="Arial" w:hAnsi="Arial"/>
          <w:rtl w:val="0"/>
        </w:rPr>
        <w:t xml:space="preserve">. For Direct Charges, Stripe attempts to debit the disputed amount and the associated fees directly from the connected booth renter's balance</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However, for Destination Charges, the platform account is debited, exposing the software provider to immense financial risk if the connected salon lacks sufficient funds</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The system architecture must instantiate automated webhook listeners for critical events, particularly charge.dispute.created</w:t>
      </w:r>
      <w:r w:rsidDel="00000000" w:rsidR="00000000" w:rsidRPr="00000000">
        <w:rPr>
          <w:rFonts w:ascii="Arial" w:cs="Arial" w:eastAsia="Arial" w:hAnsi="Arial"/>
          <w:sz w:val="24"/>
          <w:szCs w:val="24"/>
          <w:vertAlign w:val="superscript"/>
          <w:rtl w:val="0"/>
        </w:rPr>
        <w:t xml:space="preserve">33</w:t>
      </w:r>
      <w:r w:rsidDel="00000000" w:rsidR="00000000" w:rsidRPr="00000000">
        <w:rPr>
          <w:rFonts w:ascii="Arial" w:cs="Arial" w:eastAsia="Arial" w:hAnsi="Arial"/>
          <w:rtl w:val="0"/>
        </w:rPr>
        <w:t xml:space="preserve">. Upon intercepting this payload, the backend must immediately attempt to recover the funds from the connected salon account by executing a transfer reversal via the API</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Furthermore, the application must natively embed Stripe's Connect dispute components, allowing merchants to seamlessly upload formatted evidentiary documents—such as signed medical intake forms, digital SMS communication logs, and verified device IP addresses—to counter fraudulent claims within the stringent 5-to-21-day issuer deadlines</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Payment Flow Variable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Direct Charges (Booth Renters)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Destination Charges (Commission Salons)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Transaction Nexus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Processed directly on Connected Account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Processed on Platform Account, transferred out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Merchant of Record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Connected Account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Platform (or Connected Account if on_behalf_of is passed)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Platform Liability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Low (Account bears negative balance)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High (Platform covers negative balances from refunds)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Application Fees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Deducted automatically during charge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Collected prior to executing the destination transfer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Dispute Liability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Debited directly from Connected Account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Debited from Platform Account, requires reverse_transfer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Refund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Deducted from Connected Account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Platform covers refund, must pull from Connected Account</w:t>
            </w:r>
            <w:r w:rsidDel="00000000" w:rsidR="00000000" w:rsidRPr="00000000">
              <w:rPr>
                <w:rFonts w:ascii="Arial" w:cs="Arial" w:eastAsia="Arial" w:hAnsi="Arial"/>
                <w:sz w:val="24"/>
                <w:szCs w:val="24"/>
                <w:vertAlign w:val="superscript"/>
                <w:rtl w:val="0"/>
              </w:rPr>
              <w:t xml:space="preserve">30</w:t>
            </w:r>
          </w:p>
        </w:tc>
      </w:tr>
    </w:tbl>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Data Engineering and PostgreSQL Multi-Tenancy Strategy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structural resilience and performance trajectory of the application rely entirely on its foundational database schema. Given the multi-tenant mandate of the platform, absolute data isolation, high-throughput query performance, and horizontal scalability are paramount. PostgreSQL is the definitive relational database engine for this architecture, but the specific methodology deployed for multi-tenancy dictates the long-term operational viability of the entire software ecosystem</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planning agent must explicitly reject the "database-per-tenant" model. While provisioning an isolated physical database for every single salon offers maximal security, it introduces an unsustainable DevOps catastrophe regarding schema migrations, connection pooling exhaustion, and exponential infrastructure costs as the user base scales into the thousands</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Similarly, the "schema-per-tenant" model—where tenants share a database but occupy isolated PostgreSQL schemas—must be avoided. This architecture suffers from severe performance degradation during global administrative operations like VACUUM, and it fundamentally complicates cross-tenant analytical queries and connection pooling frameworks</w:t>
      </w:r>
      <w:r w:rsidDel="00000000" w:rsidR="00000000" w:rsidRPr="00000000">
        <w:rPr>
          <w:rFonts w:ascii="Arial" w:cs="Arial" w:eastAsia="Arial" w:hAnsi="Arial"/>
          <w:sz w:val="24"/>
          <w:szCs w:val="24"/>
          <w:vertAlign w:val="superscript"/>
          <w:rtl w:val="0"/>
        </w:rPr>
        <w:t xml:space="preserve">38</w:t>
      </w:r>
      <w:r w:rsidDel="00000000" w:rsidR="00000000" w:rsidRPr="00000000">
        <w:rPr>
          <w:rFonts w:ascii="Arial" w:cs="Arial" w:eastAsia="Arial" w:hAnsi="Arial"/>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optimal architectural design for a high-velocity, multi-tenant SaaS platform is a shared-table schema</w:t>
      </w:r>
      <w:r w:rsidDel="00000000" w:rsidR="00000000" w:rsidRPr="00000000">
        <w:rPr>
          <w:rFonts w:ascii="Arial" w:cs="Arial" w:eastAsia="Arial" w:hAnsi="Arial"/>
          <w:sz w:val="24"/>
          <w:szCs w:val="24"/>
          <w:vertAlign w:val="superscript"/>
          <w:rtl w:val="0"/>
        </w:rPr>
        <w:t xml:space="preserve">37</w:t>
      </w:r>
      <w:r w:rsidDel="00000000" w:rsidR="00000000" w:rsidRPr="00000000">
        <w:rPr>
          <w:rFonts w:ascii="Arial" w:cs="Arial" w:eastAsia="Arial" w:hAnsi="Arial"/>
          <w:rtl w:val="0"/>
        </w:rPr>
        <w:t xml:space="preserve">. In this paradigm, data from all tenants resides within the same massive physical database tables. Cryptographic-level data isolation is achieved by incorporating a mandatory tenant_id column on every single relational table within the schema</w:t>
      </w:r>
      <w:r w:rsidDel="00000000" w:rsidR="00000000" w:rsidRPr="00000000">
        <w:rPr>
          <w:rFonts w:ascii="Arial" w:cs="Arial" w:eastAsia="Arial" w:hAnsi="Arial"/>
          <w:sz w:val="24"/>
          <w:szCs w:val="24"/>
          <w:vertAlign w:val="superscript"/>
          <w:rtl w:val="0"/>
        </w:rPr>
        <w:t xml:space="preserve">36</w:t>
      </w:r>
      <w:r w:rsidDel="00000000" w:rsidR="00000000" w:rsidRPr="00000000">
        <w:rPr>
          <w:rFonts w:ascii="Arial" w:cs="Arial" w:eastAsia="Arial" w:hAnsi="Arial"/>
          <w:rtl w:val="0"/>
        </w:rPr>
        <w:t xml:space="preserve">. To prevent catastrophic data leakage—a scenario where a software bug allows one salon to query the proprietary client database of a direct competitor—the application must rigorously enforce PostgreSQL's Row-Level Security (RLS) policies</w:t>
      </w:r>
      <w:r w:rsidDel="00000000" w:rsidR="00000000" w:rsidRPr="00000000">
        <w:rPr>
          <w:rFonts w:ascii="Arial" w:cs="Arial" w:eastAsia="Arial" w:hAnsi="Arial"/>
          <w:sz w:val="24"/>
          <w:szCs w:val="24"/>
          <w:vertAlign w:val="superscript"/>
          <w:rtl w:val="0"/>
        </w:rPr>
        <w:t xml:space="preserve">35</w:t>
      </w:r>
      <w:r w:rsidDel="00000000" w:rsidR="00000000" w:rsidRPr="00000000">
        <w:rPr>
          <w:rFonts w:ascii="Arial" w:cs="Arial" w:eastAsia="Arial" w:hAnsi="Arial"/>
          <w:rtl w:val="0"/>
        </w:rPr>
        <w:t xml:space="preserve">. RLS operates at the lowest database execution level, guaranteeing that all queries are mathematically restricted to the execution context of the currently authenticated tenant_id, effectively acting as a fail-safe against application-layer routing errors</w:t>
      </w:r>
      <w:r w:rsidDel="00000000" w:rsidR="00000000" w:rsidRPr="00000000">
        <w:rPr>
          <w:rFonts w:ascii="Arial" w:cs="Arial" w:eastAsia="Arial" w:hAnsi="Arial"/>
          <w:sz w:val="24"/>
          <w:szCs w:val="24"/>
          <w:vertAlign w:val="superscript"/>
          <w:rtl w:val="0"/>
        </w:rPr>
        <w:t xml:space="preserve">35</w:t>
      </w:r>
      <w:r w:rsidDel="00000000" w:rsidR="00000000" w:rsidRPr="00000000">
        <w:rPr>
          <w:rFonts w:ascii="Arial" w:cs="Arial" w:eastAsia="Arial" w:hAnsi="Arial"/>
          <w:rtl w:val="0"/>
        </w:rPr>
        <w:t xml:space="preserve">. This architecture mandates that the tenant_id be heavily and strategically indexed, typically functioning as the leading column in composite B-tree indexes, to maintain sub-millisecond query resolution times</w:t>
      </w:r>
      <w:r w:rsidDel="00000000" w:rsidR="00000000" w:rsidRPr="00000000">
        <w:rPr>
          <w:rFonts w:ascii="Arial" w:cs="Arial" w:eastAsia="Arial" w:hAnsi="Arial"/>
          <w:sz w:val="24"/>
          <w:szCs w:val="24"/>
          <w:vertAlign w:val="superscript"/>
          <w:rtl w:val="0"/>
        </w:rPr>
        <w:t xml:space="preserve">36</w:t>
      </w:r>
      <w:r w:rsidDel="00000000" w:rsidR="00000000" w:rsidRPr="00000000">
        <w:rPr>
          <w:rFonts w:ascii="Arial" w:cs="Arial" w:eastAsia="Arial" w:hAnsi="Arial"/>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As the platform accrues historical data, this shared-table architecture supports advanced database optimization techniques seamlessly. Massive, immutable datasets, such as webhook event histories and granular audit logs, can be managed using time-based declarative partitioning, allowing older data to be detached and migrated to colder, cheaper storage tiers without application downtime</w:t>
      </w:r>
      <w:r w:rsidDel="00000000" w:rsidR="00000000" w:rsidRPr="00000000">
        <w:rPr>
          <w:rFonts w:ascii="Arial" w:cs="Arial" w:eastAsia="Arial" w:hAnsi="Arial"/>
          <w:sz w:val="24"/>
          <w:szCs w:val="24"/>
          <w:vertAlign w:val="superscript"/>
          <w:rtl w:val="0"/>
        </w:rPr>
        <w:t xml:space="preserve">35</w:t>
      </w:r>
      <w:r w:rsidDel="00000000" w:rsidR="00000000" w:rsidRPr="00000000">
        <w:rPr>
          <w:rFonts w:ascii="Arial" w:cs="Arial" w:eastAsia="Arial" w:hAnsi="Arial"/>
          <w:rtl w:val="0"/>
        </w:rPr>
        <w:t xml:space="preserve">. Highly mutable operational data, such as the appointments table, can utilize hash partitioning on the tenant_id to distribute read/write load evenly across multiple physical disks</w:t>
      </w:r>
      <w:r w:rsidDel="00000000" w:rsidR="00000000" w:rsidRPr="00000000">
        <w:rPr>
          <w:rFonts w:ascii="Arial" w:cs="Arial" w:eastAsia="Arial" w:hAnsi="Arial"/>
          <w:sz w:val="24"/>
          <w:szCs w:val="24"/>
          <w:vertAlign w:val="superscript"/>
          <w:rtl w:val="0"/>
        </w:rPr>
        <w:t xml:space="preserve">35</w:t>
      </w:r>
      <w:r w:rsidDel="00000000" w:rsidR="00000000" w:rsidRPr="00000000">
        <w:rPr>
          <w:rFonts w:ascii="Arial" w:cs="Arial" w:eastAsia="Arial" w:hAnsi="Arial"/>
          <w:rtl w:val="0"/>
        </w:rPr>
        <w:t xml:space="preserve">. If a specific enterprise salon franchise grows disproportionately massive, creating an asymmetric query load that threatens the performance of smaller tenants (the "noisy neighbor" problem), the architecture permits the use of logical replication to seamlessly migrate that specific "whale" tenant's data to a dedicated, high-compute PostgreSQL cluster</w:t>
      </w:r>
      <w:r w:rsidDel="00000000" w:rsidR="00000000" w:rsidRPr="00000000">
        <w:rPr>
          <w:rFonts w:ascii="Arial" w:cs="Arial" w:eastAsia="Arial" w:hAnsi="Arial"/>
          <w:sz w:val="24"/>
          <w:szCs w:val="24"/>
          <w:vertAlign w:val="superscript"/>
          <w:rtl w:val="0"/>
        </w:rPr>
        <w:t xml:space="preserve">35</w:t>
      </w:r>
      <w:r w:rsidDel="00000000" w:rsidR="00000000" w:rsidRPr="00000000">
        <w:rPr>
          <w:rFonts w:ascii="Arial" w:cs="Arial" w:eastAsia="Arial" w:hAnsi="Arial"/>
          <w:rtl w:val="0"/>
        </w:rPr>
        <w:t xml:space="preserve">. This migration is executed transparently via an internal routing table, requiring zero API modifications or downtime for the broader user base</w:t>
      </w:r>
      <w:r w:rsidDel="00000000" w:rsidR="00000000" w:rsidRPr="00000000">
        <w:rPr>
          <w:rFonts w:ascii="Arial" w:cs="Arial" w:eastAsia="Arial" w:hAnsi="Arial"/>
          <w:sz w:val="24"/>
          <w:szCs w:val="24"/>
          <w:vertAlign w:val="superscript"/>
          <w:rtl w:val="0"/>
        </w:rPr>
        <w:t xml:space="preserve">35</w:t>
      </w:r>
      <w:r w:rsidDel="00000000" w:rsidR="00000000" w:rsidRPr="00000000">
        <w:rPr>
          <w:rFonts w:ascii="Arial" w:cs="Arial" w:eastAsia="Arial" w:hAnsi="Arial"/>
          <w:rtl w:val="0"/>
        </w:rPr>
        <w:t xml:space="preserve">. Furthermore, setting the PostgreSQL configuration parameter wal_level to logical enables the deployment of Change Data Capture (CDC) pipelines</w:t>
      </w:r>
      <w:r w:rsidDel="00000000" w:rsidR="00000000" w:rsidRPr="00000000">
        <w:rPr>
          <w:rFonts w:ascii="Arial" w:cs="Arial" w:eastAsia="Arial" w:hAnsi="Arial"/>
          <w:sz w:val="24"/>
          <w:szCs w:val="24"/>
          <w:vertAlign w:val="superscript"/>
          <w:rtl w:val="0"/>
        </w:rPr>
        <w:t xml:space="preserve">36</w:t>
      </w:r>
      <w:r w:rsidDel="00000000" w:rsidR="00000000" w:rsidRPr="00000000">
        <w:rPr>
          <w:rFonts w:ascii="Arial" w:cs="Arial" w:eastAsia="Arial" w:hAnsi="Arial"/>
          <w:rtl w:val="0"/>
        </w:rPr>
        <w:t xml:space="preserve">. CDC taps directly into the Write-Ahead Log (WAL), streaming real-time database modifications to external analytical data warehouses, allowing the platform to generate complex, real-time business intelligence dashboards without placing heavy, blocking read queries on the primary transactional database</w:t>
      </w:r>
      <w:r w:rsidDel="00000000" w:rsidR="00000000" w:rsidRPr="00000000">
        <w:rPr>
          <w:rFonts w:ascii="Arial" w:cs="Arial" w:eastAsia="Arial" w:hAnsi="Arial"/>
          <w:sz w:val="24"/>
          <w:szCs w:val="24"/>
          <w:vertAlign w:val="superscript"/>
          <w:rtl w:val="0"/>
        </w:rPr>
        <w:t xml:space="preserve">36</w:t>
      </w:r>
      <w:r w:rsidDel="00000000" w:rsidR="00000000" w:rsidRPr="00000000">
        <w:rPr>
          <w:rFonts w:ascii="Arial" w:cs="Arial" w:eastAsia="Arial" w:hAnsi="Arial"/>
          <w:rtl w:val="0"/>
        </w:rPr>
        <w:t xml:space="preserv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Offline-First Mobile Client Architecture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Salon environments are notoriously hostile to consistent network connectivity. The physical infrastructure of commercial retail spaces—characterized by thick concrete walls, subterranean locations, and significant electromagnetic interference from high-wattage salon equipment like blow dryers—frequently disrupts cellular and Wi-Fi signals. Relying on a traditional online-first mobile architecture, where every user interaction necessitates a synchronous network round-trip to a cloud server, will result in an intolerably sluggish user interface and catastrophic application failure during temporary internet outages</w:t>
      </w:r>
      <w:r w:rsidDel="00000000" w:rsidR="00000000" w:rsidRPr="00000000">
        <w:rPr>
          <w:rFonts w:ascii="Arial" w:cs="Arial" w:eastAsia="Arial" w:hAnsi="Arial"/>
          <w:sz w:val="24"/>
          <w:szCs w:val="24"/>
          <w:vertAlign w:val="superscript"/>
          <w:rtl w:val="0"/>
        </w:rPr>
        <w:t xml:space="preserve">39</w:t>
      </w:r>
      <w:r w:rsidDel="00000000" w:rsidR="00000000" w:rsidRPr="00000000">
        <w:rPr>
          <w:rFonts w:ascii="Arial" w:cs="Arial" w:eastAsia="Arial" w:hAnsi="Arial"/>
          <w:rtl w:val="0"/>
        </w:rPr>
        <w:t xml:space="preserve">. Therefore, the mobile application architecture must fundamentally embrace an offline-first paradigm.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 an offline-first data model, the mental architecture of the application flips: the local storage on the mobile device serves as the primary, authoritative source of truth, and the remote cloud server acts merely as an asynchronous synchronization target</w:t>
      </w:r>
      <w:r w:rsidDel="00000000" w:rsidR="00000000" w:rsidRPr="00000000">
        <w:rPr>
          <w:rFonts w:ascii="Arial" w:cs="Arial" w:eastAsia="Arial" w:hAnsi="Arial"/>
          <w:sz w:val="24"/>
          <w:szCs w:val="24"/>
          <w:vertAlign w:val="superscript"/>
          <w:rtl w:val="0"/>
        </w:rPr>
        <w:t xml:space="preserve">39</w:t>
      </w:r>
      <w:r w:rsidDel="00000000" w:rsidR="00000000" w:rsidRPr="00000000">
        <w:rPr>
          <w:rFonts w:ascii="Arial" w:cs="Arial" w:eastAsia="Arial" w:hAnsi="Arial"/>
          <w:rtl w:val="0"/>
        </w:rPr>
        <w:t xml:space="preserve">. For modern applications constructed using React Native or Expo, traditional asynchronous key-value stores or raw SQLite bindings are wholly insufficient for managing the complex, heavily relational data required by a salon, which may involve tens of thousands of historical client records, chemical formulas, and transactional histories</w:t>
      </w:r>
      <w:r w:rsidDel="00000000" w:rsidR="00000000" w:rsidRPr="00000000">
        <w:rPr>
          <w:rFonts w:ascii="Arial" w:cs="Arial" w:eastAsia="Arial" w:hAnsi="Arial"/>
          <w:sz w:val="24"/>
          <w:szCs w:val="24"/>
          <w:vertAlign w:val="superscript"/>
          <w:rtl w:val="0"/>
        </w:rPr>
        <w:t xml:space="preserve">39</w:t>
      </w:r>
      <w:r w:rsidDel="00000000" w:rsidR="00000000" w:rsidRPr="00000000">
        <w:rPr>
          <w:rFonts w:ascii="Arial" w:cs="Arial" w:eastAsia="Arial" w:hAnsi="Arial"/>
          <w:rtl w:val="0"/>
        </w:rPr>
        <w:t xml:space="preserve">. The planning agent should architect the mobile data layer utilizing WatermelonDB</w:t>
      </w:r>
      <w:r w:rsidDel="00000000" w:rsidR="00000000" w:rsidRPr="00000000">
        <w:rPr>
          <w:rFonts w:ascii="Arial" w:cs="Arial" w:eastAsia="Arial" w:hAnsi="Arial"/>
          <w:sz w:val="24"/>
          <w:szCs w:val="24"/>
          <w:vertAlign w:val="superscript"/>
          <w:rtl w:val="0"/>
        </w:rPr>
        <w:t xml:space="preserve">40</w:t>
      </w:r>
      <w:r w:rsidDel="00000000" w:rsidR="00000000" w:rsidRPr="00000000">
        <w:rPr>
          <w:rFonts w:ascii="Arial" w:cs="Arial" w:eastAsia="Arial" w:hAnsi="Arial"/>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WatermelonDB is a highly optimized, reactive, relational database framework built directly upon a rock-solid, native SQLite foundation</w:t>
      </w:r>
      <w:r w:rsidDel="00000000" w:rsidR="00000000" w:rsidRPr="00000000">
        <w:rPr>
          <w:rFonts w:ascii="Arial" w:cs="Arial" w:eastAsia="Arial" w:hAnsi="Arial"/>
          <w:sz w:val="24"/>
          <w:szCs w:val="24"/>
          <w:vertAlign w:val="superscript"/>
          <w:rtl w:val="0"/>
        </w:rPr>
        <w:t xml:space="preserve">41</w:t>
      </w:r>
      <w:r w:rsidDel="00000000" w:rsidR="00000000" w:rsidRPr="00000000">
        <w:rPr>
          <w:rFonts w:ascii="Arial" w:cs="Arial" w:eastAsia="Arial" w:hAnsi="Arial"/>
          <w:rtl w:val="0"/>
        </w:rPr>
        <w:t xml:space="preserve">. Crucially, it utilizes lazy loading evaluation protocols. This ensures that only the specific records actively being queried by the user interface are loaded into the mobile device's active memory</w:t>
      </w:r>
      <w:r w:rsidDel="00000000" w:rsidR="00000000" w:rsidRPr="00000000">
        <w:rPr>
          <w:rFonts w:ascii="Arial" w:cs="Arial" w:eastAsia="Arial" w:hAnsi="Arial"/>
          <w:sz w:val="24"/>
          <w:szCs w:val="24"/>
          <w:vertAlign w:val="superscript"/>
          <w:rtl w:val="0"/>
        </w:rPr>
        <w:t xml:space="preserve">40</w:t>
      </w:r>
      <w:r w:rsidDel="00000000" w:rsidR="00000000" w:rsidRPr="00000000">
        <w:rPr>
          <w:rFonts w:ascii="Arial" w:cs="Arial" w:eastAsia="Arial" w:hAnsi="Arial"/>
          <w:rtl w:val="0"/>
        </w:rPr>
        <w:t xml:space="preserve">. This lazy loading is the critical mechanism that allows a React Native application to maintain instantaneous launch times and fluid 60-frames-per-second scrolling even when the local database scales to accommodate hundreds of thousands of rows</w:t>
      </w:r>
      <w:r w:rsidDel="00000000" w:rsidR="00000000" w:rsidRPr="00000000">
        <w:rPr>
          <w:rFonts w:ascii="Arial" w:cs="Arial" w:eastAsia="Arial" w:hAnsi="Arial"/>
          <w:sz w:val="24"/>
          <w:szCs w:val="24"/>
          <w:vertAlign w:val="superscript"/>
          <w:rtl w:val="0"/>
        </w:rPr>
        <w:t xml:space="preserve">41</w:t>
      </w:r>
      <w:r w:rsidDel="00000000" w:rsidR="00000000" w:rsidRPr="00000000">
        <w:rPr>
          <w:rFonts w:ascii="Arial" w:cs="Arial" w:eastAsia="Arial" w:hAnsi="Arial"/>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Furthermore, WatermelonDB provides a first-class, battle-tested synchronization protocol native to its architecture</w:t>
      </w:r>
      <w:r w:rsidDel="00000000" w:rsidR="00000000" w:rsidRPr="00000000">
        <w:rPr>
          <w:rFonts w:ascii="Arial" w:cs="Arial" w:eastAsia="Arial" w:hAnsi="Arial"/>
          <w:sz w:val="24"/>
          <w:szCs w:val="24"/>
          <w:vertAlign w:val="superscript"/>
          <w:rtl w:val="0"/>
        </w:rPr>
        <w:t xml:space="preserve">39</w:t>
      </w:r>
      <w:r w:rsidDel="00000000" w:rsidR="00000000" w:rsidRPr="00000000">
        <w:rPr>
          <w:rFonts w:ascii="Arial" w:cs="Arial" w:eastAsia="Arial" w:hAnsi="Arial"/>
          <w:rtl w:val="0"/>
        </w:rPr>
        <w:t xml:space="preserve">. When a stylist records a new appointment or updates a critical chemical color formula, the mutation is written instantly to the local SQLite instance via the framework's withObservables wrappers, ensuring a zero-latency UI response regardless of network conditions</w:t>
      </w:r>
      <w:r w:rsidDel="00000000" w:rsidR="00000000" w:rsidRPr="00000000">
        <w:rPr>
          <w:rFonts w:ascii="Arial" w:cs="Arial" w:eastAsia="Arial" w:hAnsi="Arial"/>
          <w:sz w:val="24"/>
          <w:szCs w:val="24"/>
          <w:vertAlign w:val="superscript"/>
          <w:rtl w:val="0"/>
        </w:rPr>
        <w:t xml:space="preserve">39</w:t>
      </w:r>
      <w:r w:rsidDel="00000000" w:rsidR="00000000" w:rsidRPr="00000000">
        <w:rPr>
          <w:rFonts w:ascii="Arial" w:cs="Arial" w:eastAsia="Arial" w:hAnsi="Arial"/>
          <w:rtl w:val="0"/>
        </w:rPr>
        <w:t xml:space="preserve">. Concurrently, a background process utilizes timestamps to identify dirty, un-synced records and synchronizes these changes incrementally with the PostgreSQL backend whenever robust network connectivity is restored</w:t>
      </w:r>
      <w:r w:rsidDel="00000000" w:rsidR="00000000" w:rsidRPr="00000000">
        <w:rPr>
          <w:rFonts w:ascii="Arial" w:cs="Arial" w:eastAsia="Arial" w:hAnsi="Arial"/>
          <w:sz w:val="24"/>
          <w:szCs w:val="24"/>
          <w:vertAlign w:val="superscript"/>
          <w:rtl w:val="0"/>
        </w:rPr>
        <w:t xml:space="preserve">39</w:t>
      </w:r>
      <w:r w:rsidDel="00000000" w:rsidR="00000000" w:rsidRPr="00000000">
        <w:rPr>
          <w:rFonts w:ascii="Arial" w:cs="Arial" w:eastAsia="Arial" w:hAnsi="Arial"/>
          <w:rtl w:val="0"/>
        </w:rPr>
        <w:t xml:space="preserve">. This requires the backend API to expose specific pullChanges and pushChanges endpoints, allowing the system to pass highly compressed JSON payloads containing only the delta of modifications since the last successful sync</w:t>
      </w:r>
      <w:r w:rsidDel="00000000" w:rsidR="00000000" w:rsidRPr="00000000">
        <w:rPr>
          <w:rFonts w:ascii="Arial" w:cs="Arial" w:eastAsia="Arial" w:hAnsi="Arial"/>
          <w:sz w:val="24"/>
          <w:szCs w:val="24"/>
          <w:vertAlign w:val="superscript"/>
          <w:rtl w:val="0"/>
        </w:rPr>
        <w:t xml:space="preserve">39</w:t>
      </w:r>
      <w:r w:rsidDel="00000000" w:rsidR="00000000" w:rsidRPr="00000000">
        <w:rPr>
          <w:rFonts w:ascii="Arial" w:cs="Arial" w:eastAsia="Arial" w:hAnsi="Arial"/>
          <w:rtl w:val="0"/>
        </w:rPr>
        <w:t xml:space="preserve">. By leveraging this architecture, the salon professional experiences an application that feels native, instantaneous, and immune to the physical network limitations of their environment</w:t>
      </w:r>
      <w:r w:rsidDel="00000000" w:rsidR="00000000" w:rsidRPr="00000000">
        <w:rPr>
          <w:rFonts w:ascii="Arial" w:cs="Arial" w:eastAsia="Arial" w:hAnsi="Arial"/>
          <w:sz w:val="24"/>
          <w:szCs w:val="24"/>
          <w:vertAlign w:val="superscript"/>
          <w:rtl w:val="0"/>
        </w:rPr>
        <w:t xml:space="preserve">39</w:t>
      </w:r>
      <w:r w:rsidDel="00000000" w:rsidR="00000000" w:rsidRPr="00000000">
        <w:rPr>
          <w:rFonts w:ascii="Arial" w:cs="Arial" w:eastAsia="Arial" w:hAnsi="Arial"/>
          <w:rtl w:val="0"/>
        </w:rPr>
        <w:t xml:space="preserv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Hardware Integration and Inventory Telemetry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operational complexity of a salon extends beyond digital scheduling into the physical realm of intensive inventory management. Salon inventory is strictly bifurcated into two categories: retail products intended for direct consumer purchase, and backbar products (chemicals, lighteners, developers) consumed entirely during the execution of a service</w:t>
      </w:r>
      <w:r w:rsidDel="00000000" w:rsidR="00000000" w:rsidRPr="00000000">
        <w:rPr>
          <w:rFonts w:ascii="Arial" w:cs="Arial" w:eastAsia="Arial" w:hAnsi="Arial"/>
          <w:sz w:val="24"/>
          <w:szCs w:val="24"/>
          <w:vertAlign w:val="superscript"/>
          <w:rtl w:val="0"/>
        </w:rPr>
        <w:t xml:space="preserve">17</w:t>
      </w:r>
      <w:r w:rsidDel="00000000" w:rsidR="00000000" w:rsidRPr="00000000">
        <w:rPr>
          <w:rFonts w:ascii="Arial" w:cs="Arial" w:eastAsia="Arial" w:hAnsi="Arial"/>
          <w:rtl w:val="0"/>
        </w:rPr>
        <w:t xml:space="preserve">. Tracking the consumption of backbar usage, particularly hair color chemicals, represents a massive operational vulnerability that directly erodes salon profitability through undocumented product waste and inaccurate, flat-rate pricing models</w:t>
      </w:r>
      <w:r w:rsidDel="00000000" w:rsidR="00000000" w:rsidRPr="00000000">
        <w:rPr>
          <w:rFonts w:ascii="Arial" w:cs="Arial" w:eastAsia="Arial" w:hAnsi="Arial"/>
          <w:sz w:val="24"/>
          <w:szCs w:val="24"/>
          <w:vertAlign w:val="superscript"/>
          <w:rtl w:val="0"/>
        </w:rPr>
        <w:t xml:space="preserve">45</w:t>
      </w:r>
      <w:r w:rsidDel="00000000" w:rsidR="00000000" w:rsidRPr="00000000">
        <w:rPr>
          <w:rFonts w:ascii="Arial" w:cs="Arial" w:eastAsia="Arial" w:hAnsi="Arial"/>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solve this, the application architecture must support deep integrations with specialized IoT hardware, specifically smart scales designed for precise color management, such as those provided by the "Vish" ecosystem</w:t>
      </w:r>
      <w:r w:rsidDel="00000000" w:rsidR="00000000" w:rsidRPr="00000000">
        <w:rPr>
          <w:rFonts w:ascii="Arial" w:cs="Arial" w:eastAsia="Arial" w:hAnsi="Arial"/>
          <w:sz w:val="24"/>
          <w:szCs w:val="24"/>
          <w:vertAlign w:val="superscript"/>
          <w:rtl w:val="0"/>
        </w:rPr>
        <w:t xml:space="preserve">44</w:t>
      </w:r>
      <w:r w:rsidDel="00000000" w:rsidR="00000000" w:rsidRPr="00000000">
        <w:rPr>
          <w:rFonts w:ascii="Arial" w:cs="Arial" w:eastAsia="Arial" w:hAnsi="Arial"/>
          <w:rtl w:val="0"/>
        </w:rPr>
        <w:t xml:space="preserve">. This integration requires the mobile and tablet applications to communicate natively with physical scales via Bluetooth Low Energy (BLE) protocols</w:t>
      </w:r>
      <w:r w:rsidDel="00000000" w:rsidR="00000000" w:rsidRPr="00000000">
        <w:rPr>
          <w:rFonts w:ascii="Arial" w:cs="Arial" w:eastAsia="Arial" w:hAnsi="Arial"/>
          <w:sz w:val="24"/>
          <w:szCs w:val="24"/>
          <w:vertAlign w:val="superscript"/>
          <w:rtl w:val="0"/>
        </w:rPr>
        <w:t xml:space="preserve">45</w:t>
      </w:r>
      <w:r w:rsidDel="00000000" w:rsidR="00000000" w:rsidRPr="00000000">
        <w:rPr>
          <w:rFonts w:ascii="Arial" w:cs="Arial" w:eastAsia="Arial" w:hAnsi="Arial"/>
          <w:rtl w:val="0"/>
        </w:rPr>
        <w:t xml:space="preserve">. When a stylist mixes a chemical formula at the color bar, the application interface must present an interactive mixing screen, capturing the exact weight of each individual component in grams, demanding a hardware sensitivity down to 0.1g increments</w:t>
      </w:r>
      <w:r w:rsidDel="00000000" w:rsidR="00000000" w:rsidRPr="00000000">
        <w:rPr>
          <w:rFonts w:ascii="Arial" w:cs="Arial" w:eastAsia="Arial" w:hAnsi="Arial"/>
          <w:sz w:val="24"/>
          <w:szCs w:val="24"/>
          <w:vertAlign w:val="superscript"/>
          <w:rtl w:val="0"/>
        </w:rPr>
        <w:t xml:space="preserve">45</w:t>
      </w:r>
      <w:r w:rsidDel="00000000" w:rsidR="00000000" w:rsidRPr="00000000">
        <w:rPr>
          <w:rFonts w:ascii="Arial" w:cs="Arial" w:eastAsia="Arial" w:hAnsi="Arial"/>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telemetry data flows directly into the core database architecture to achieve three critical operational mandates. First, it updates the specific client's historical CRM record with exact, replicable chemical ratios, entirely eliminating guesswork for future visits and ensuring color consistency</w:t>
      </w:r>
      <w:r w:rsidDel="00000000" w:rsidR="00000000" w:rsidRPr="00000000">
        <w:rPr>
          <w:rFonts w:ascii="Arial" w:cs="Arial" w:eastAsia="Arial" w:hAnsi="Arial"/>
          <w:sz w:val="24"/>
          <w:szCs w:val="24"/>
          <w:vertAlign w:val="superscript"/>
          <w:rtl w:val="0"/>
        </w:rPr>
        <w:t xml:space="preserve">47</w:t>
      </w:r>
      <w:r w:rsidDel="00000000" w:rsidR="00000000" w:rsidRPr="00000000">
        <w:rPr>
          <w:rFonts w:ascii="Arial" w:cs="Arial" w:eastAsia="Arial" w:hAnsi="Arial"/>
          <w:rtl w:val="0"/>
        </w:rPr>
        <w:t xml:space="preserve">. Second, the system automatically deducts the precise volume of chemicals utilized from the salon's digital backbar inventory ledger, automatically triggering low-stock procurement alerts to management</w:t>
      </w:r>
      <w:r w:rsidDel="00000000" w:rsidR="00000000" w:rsidRPr="00000000">
        <w:rPr>
          <w:rFonts w:ascii="Arial" w:cs="Arial" w:eastAsia="Arial" w:hAnsi="Arial"/>
          <w:sz w:val="24"/>
          <w:szCs w:val="24"/>
          <w:vertAlign w:val="superscript"/>
          <w:rtl w:val="0"/>
        </w:rPr>
        <w:t xml:space="preserve">46</w:t>
      </w:r>
      <w:r w:rsidDel="00000000" w:rsidR="00000000" w:rsidRPr="00000000">
        <w:rPr>
          <w:rFonts w:ascii="Arial" w:cs="Arial" w:eastAsia="Arial" w:hAnsi="Arial"/>
          <w:rtl w:val="0"/>
        </w:rPr>
        <w:t xml:space="preserve">. Finally, and most importantly for profitability, it calculates the exact Cost of Goods Sold (COGS) for that specific appointment based on the real-time weight of the dispensed chemicals</w:t>
      </w:r>
      <w:r w:rsidDel="00000000" w:rsidR="00000000" w:rsidRPr="00000000">
        <w:rPr>
          <w:rFonts w:ascii="Arial" w:cs="Arial" w:eastAsia="Arial" w:hAnsi="Arial"/>
          <w:sz w:val="24"/>
          <w:szCs w:val="24"/>
          <w:vertAlign w:val="superscript"/>
          <w:rtl w:val="0"/>
        </w:rPr>
        <w:t xml:space="preserve">46</w:t>
      </w:r>
      <w:r w:rsidDel="00000000" w:rsidR="00000000" w:rsidRPr="00000000">
        <w:rPr>
          <w:rFonts w:ascii="Arial" w:cs="Arial" w:eastAsia="Arial" w:hAnsi="Arial"/>
          <w:rtl w:val="0"/>
        </w:rPr>
        <w:t xml:space="preserve">. If a client requires an excessive amount of product due to extraordinary hair density or length, the system autonomously transmits an add-on product charge to the front-desk point-of-sale terminal</w:t>
      </w:r>
      <w:r w:rsidDel="00000000" w:rsidR="00000000" w:rsidRPr="00000000">
        <w:rPr>
          <w:rFonts w:ascii="Arial" w:cs="Arial" w:eastAsia="Arial" w:hAnsi="Arial"/>
          <w:sz w:val="24"/>
          <w:szCs w:val="24"/>
          <w:vertAlign w:val="superscript"/>
          <w:rtl w:val="0"/>
        </w:rPr>
        <w:t xml:space="preserve">46</w:t>
      </w:r>
      <w:r w:rsidDel="00000000" w:rsidR="00000000" w:rsidRPr="00000000">
        <w:rPr>
          <w:rFonts w:ascii="Arial" w:cs="Arial" w:eastAsia="Arial" w:hAnsi="Arial"/>
          <w:rtl w:val="0"/>
        </w:rPr>
        <w:t xml:space="preserve">. This guarantees that the salon maintains strict profit margins on chemical services, rather than absorbing the cost of excess product usage.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Customer Retention Analytics and Recurring Revenue Models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economic engine of the beauty industry relies almost entirely on customer retention, yet empirical data reveals a highly volatile landscape. According to aggregated industry statistics, hair salons experience an average annual churn rate of 50% to 60%, meaning more than half of a salon's active client base will fail to return within a 12-month period</w:t>
      </w:r>
      <w:r w:rsidDel="00000000" w:rsidR="00000000" w:rsidRPr="00000000">
        <w:rPr>
          <w:rFonts w:ascii="Arial" w:cs="Arial" w:eastAsia="Arial" w:hAnsi="Arial"/>
          <w:sz w:val="24"/>
          <w:szCs w:val="24"/>
          <w:vertAlign w:val="superscript"/>
          <w:rtl w:val="0"/>
        </w:rPr>
        <w:t xml:space="preserve">48</w:t>
      </w:r>
      <w:r w:rsidDel="00000000" w:rsidR="00000000" w:rsidRPr="00000000">
        <w:rPr>
          <w:rFonts w:ascii="Arial" w:cs="Arial" w:eastAsia="Arial" w:hAnsi="Arial"/>
          <w:rtl w:val="0"/>
        </w:rPr>
        <w:t xml:space="preserve">. This attrition carries a massive financial penalty; for a standard multi-location franchise, a 65% churn rate can result in over $624,000 in lost annual revenue per location</w:t>
      </w:r>
      <w:r w:rsidDel="00000000" w:rsidR="00000000" w:rsidRPr="00000000">
        <w:rPr>
          <w:rFonts w:ascii="Arial" w:cs="Arial" w:eastAsia="Arial" w:hAnsi="Arial"/>
          <w:sz w:val="24"/>
          <w:szCs w:val="24"/>
          <w:vertAlign w:val="superscript"/>
          <w:rtl w:val="0"/>
        </w:rPr>
        <w:t xml:space="preserve">48</w:t>
      </w:r>
      <w:r w:rsidDel="00000000" w:rsidR="00000000" w:rsidRPr="00000000">
        <w:rPr>
          <w:rFonts w:ascii="Arial" w:cs="Arial" w:eastAsia="Arial" w:hAnsi="Arial"/>
          <w:rtl w:val="0"/>
        </w:rPr>
        <w:t xml:space="preserve">. Because the cost to acquire a new customer is approximately five to seven times more expensive than the cost to reactivate a lapsed one, the application must feature deep analytical tooling and automated marketing workflows designed specifically to arrest churn and maximize Customer Lifetime Value (LTV)</w:t>
      </w:r>
      <w:r w:rsidDel="00000000" w:rsidR="00000000" w:rsidRPr="00000000">
        <w:rPr>
          <w:rFonts w:ascii="Arial" w:cs="Arial" w:eastAsia="Arial" w:hAnsi="Arial"/>
          <w:sz w:val="24"/>
          <w:szCs w:val="24"/>
          <w:vertAlign w:val="superscript"/>
          <w:rtl w:val="0"/>
        </w:rPr>
        <w:t xml:space="preserve">48</w:t>
      </w:r>
      <w:r w:rsidDel="00000000" w:rsidR="00000000" w:rsidRPr="00000000">
        <w:rPr>
          <w:rFonts w:ascii="Arial" w:cs="Arial" w:eastAsia="Arial" w:hAnsi="Arial"/>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software must monitor the "frequency of visit" (FOV) metric, utilizing historical booking data to identify a client's natural service cadence</w:t>
      </w:r>
      <w:r w:rsidDel="00000000" w:rsidR="00000000" w:rsidRPr="00000000">
        <w:rPr>
          <w:rFonts w:ascii="Arial" w:cs="Arial" w:eastAsia="Arial" w:hAnsi="Arial"/>
          <w:sz w:val="24"/>
          <w:szCs w:val="24"/>
          <w:vertAlign w:val="superscript"/>
          <w:rtl w:val="0"/>
        </w:rPr>
        <w:t xml:space="preserve">50</w:t>
      </w:r>
      <w:r w:rsidDel="00000000" w:rsidR="00000000" w:rsidRPr="00000000">
        <w:rPr>
          <w:rFonts w:ascii="Arial" w:cs="Arial" w:eastAsia="Arial" w:hAnsi="Arial"/>
          <w:rtl w:val="0"/>
        </w:rPr>
        <w:t xml:space="preserve">. Data indicates that the critical window for reactivation is precisely three weeks past a client's expected booking date; beyond this point, the statistical probability of organic return plummets</w:t>
      </w:r>
      <w:r w:rsidDel="00000000" w:rsidR="00000000" w:rsidRPr="00000000">
        <w:rPr>
          <w:rFonts w:ascii="Arial" w:cs="Arial" w:eastAsia="Arial" w:hAnsi="Arial"/>
          <w:sz w:val="24"/>
          <w:szCs w:val="24"/>
          <w:vertAlign w:val="superscript"/>
          <w:rtl w:val="0"/>
        </w:rPr>
        <w:t xml:space="preserve">48</w:t>
      </w:r>
      <w:r w:rsidDel="00000000" w:rsidR="00000000" w:rsidRPr="00000000">
        <w:rPr>
          <w:rFonts w:ascii="Arial" w:cs="Arial" w:eastAsia="Arial" w:hAnsi="Arial"/>
          <w:rtl w:val="0"/>
        </w:rPr>
        <w:t xml:space="preserve">. The application must trigger automated win-back marketing sequences during this window. While automated email campaigns yield a marginal 1-3% response rate, and SMS campaigns yield a respectable 2-4x ROI, the most potent reactivation channel relies on human intervention</w:t>
      </w:r>
      <w:r w:rsidDel="00000000" w:rsidR="00000000" w:rsidRPr="00000000">
        <w:rPr>
          <w:rFonts w:ascii="Arial" w:cs="Arial" w:eastAsia="Arial" w:hAnsi="Arial"/>
          <w:sz w:val="24"/>
          <w:szCs w:val="24"/>
          <w:vertAlign w:val="superscript"/>
          <w:rtl w:val="0"/>
        </w:rPr>
        <w:t xml:space="preserve">48</w:t>
      </w:r>
      <w:r w:rsidDel="00000000" w:rsidR="00000000" w:rsidRPr="00000000">
        <w:rPr>
          <w:rFonts w:ascii="Arial" w:cs="Arial" w:eastAsia="Arial" w:hAnsi="Arial"/>
          <w:rtl w:val="0"/>
        </w:rPr>
        <w:t xml:space="preserve">. The software should generate prioritized call lists for front-desk staff, as phone-based reactivation of lapsed clients yields an extraordinary 25-40% rebooking rate and a 3-10x return on investment</w:t>
      </w:r>
      <w:r w:rsidDel="00000000" w:rsidR="00000000" w:rsidRPr="00000000">
        <w:rPr>
          <w:rFonts w:ascii="Arial" w:cs="Arial" w:eastAsia="Arial" w:hAnsi="Arial"/>
          <w:sz w:val="24"/>
          <w:szCs w:val="24"/>
          <w:vertAlign w:val="superscript"/>
          <w:rtl w:val="0"/>
        </w:rPr>
        <w:t xml:space="preserve">48</w:t>
      </w:r>
      <w:r w:rsidDel="00000000" w:rsidR="00000000" w:rsidRPr="00000000">
        <w:rPr>
          <w:rFonts w:ascii="Arial" w:cs="Arial" w:eastAsia="Arial" w:hAnsi="Arial"/>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preemptively combat churn, the application must also facilitate the creation of recurring revenue models. Moving beyond transactional, one-off appointments, the software must allow salons to easily configure and sell subscriptions, such as "Blow Dry Clubs" (e.g., four blowouts per month for a flat fee) or monthly root touch-up memberships</w:t>
      </w:r>
      <w:r w:rsidDel="00000000" w:rsidR="00000000" w:rsidRPr="00000000">
        <w:rPr>
          <w:rFonts w:ascii="Arial" w:cs="Arial" w:eastAsia="Arial" w:hAnsi="Arial"/>
          <w:sz w:val="24"/>
          <w:szCs w:val="24"/>
          <w:vertAlign w:val="superscript"/>
          <w:rtl w:val="0"/>
        </w:rPr>
        <w:t xml:space="preserve">51</w:t>
      </w:r>
      <w:r w:rsidDel="00000000" w:rsidR="00000000" w:rsidRPr="00000000">
        <w:rPr>
          <w:rFonts w:ascii="Arial" w:cs="Arial" w:eastAsia="Arial" w:hAnsi="Arial"/>
          <w:rtl w:val="0"/>
        </w:rPr>
        <w:t xml:space="preserve">. The architecture handles this by deeply integrating with the Stripe Billing API, automatically charging the client's vaulted credit card on the first of every month, seamlessly updating the client's digital ledger with accrued service credits, and handling complex logic for rollovers or gifted services</w:t>
      </w:r>
      <w:r w:rsidDel="00000000" w:rsidR="00000000" w:rsidRPr="00000000">
        <w:rPr>
          <w:rFonts w:ascii="Arial" w:cs="Arial" w:eastAsia="Arial" w:hAnsi="Arial"/>
          <w:sz w:val="24"/>
          <w:szCs w:val="24"/>
          <w:vertAlign w:val="superscript"/>
          <w:rtl w:val="0"/>
        </w:rPr>
        <w:t xml:space="preserve">51</w:t>
      </w:r>
      <w:r w:rsidDel="00000000" w:rsidR="00000000" w:rsidRPr="00000000">
        <w:rPr>
          <w:rFonts w:ascii="Arial" w:cs="Arial" w:eastAsia="Arial" w:hAnsi="Arial"/>
          <w:rtl w:val="0"/>
        </w:rPr>
        <w:t xml:space="preserve">. To elevate the consumer experience, the platform can deploy these memberships as dynamic, digital passes directly into Apple Wallet and Google Wallet ecosystems utilizing APIs like PassKit</w:t>
      </w:r>
      <w:r w:rsidDel="00000000" w:rsidR="00000000" w:rsidRPr="00000000">
        <w:rPr>
          <w:rFonts w:ascii="Arial" w:cs="Arial" w:eastAsia="Arial" w:hAnsi="Arial"/>
          <w:sz w:val="24"/>
          <w:szCs w:val="24"/>
          <w:vertAlign w:val="superscript"/>
          <w:rtl w:val="0"/>
        </w:rPr>
        <w:t xml:space="preserve">54</w:t>
      </w:r>
      <w:r w:rsidDel="00000000" w:rsidR="00000000" w:rsidRPr="00000000">
        <w:rPr>
          <w:rFonts w:ascii="Arial" w:cs="Arial" w:eastAsia="Arial" w:hAnsi="Arial"/>
          <w:rtl w:val="0"/>
        </w:rPr>
        <w:t xml:space="preserve">. This enables the consumer to view their available service credits, receive push notifications regarding their membership status, and redeem services via proximity scanners, all without requiring them to download a dedicated, branded salon application</w:t>
      </w:r>
      <w:r w:rsidDel="00000000" w:rsidR="00000000" w:rsidRPr="00000000">
        <w:rPr>
          <w:rFonts w:ascii="Arial" w:cs="Arial" w:eastAsia="Arial" w:hAnsi="Arial"/>
          <w:sz w:val="24"/>
          <w:szCs w:val="24"/>
          <w:vertAlign w:val="superscript"/>
          <w:rtl w:val="0"/>
        </w:rPr>
        <w:t xml:space="preserve">54</w:t>
      </w:r>
      <w:r w:rsidDel="00000000" w:rsidR="00000000" w:rsidRPr="00000000">
        <w:rPr>
          <w:rFonts w:ascii="Arial" w:cs="Arial" w:eastAsia="Arial" w:hAnsi="Arial"/>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Retention Metric /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Industry Benchmark / Effectiveness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Architectural Implication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Annual Churn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50% - 60% average for hair salons</w:t>
            </w:r>
            <w:r w:rsidDel="00000000" w:rsidR="00000000" w:rsidRPr="00000000">
              <w:rPr>
                <w:rFonts w:ascii="Arial" w:cs="Arial" w:eastAsia="Arial" w:hAnsi="Arial"/>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Requires automated predictive at-risk reporting.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Email Win-back ROI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1% - 3% response rate</w:t>
            </w:r>
            <w:r w:rsidDel="00000000" w:rsidR="00000000" w:rsidRPr="00000000">
              <w:rPr>
                <w:rFonts w:ascii="Arial" w:cs="Arial" w:eastAsia="Arial" w:hAnsi="Arial"/>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Low cost, but requires vast volume to move revenue.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SMS Win-back ROI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2x - 4x return on investment</w:t>
            </w:r>
            <w:r w:rsidDel="00000000" w:rsidR="00000000" w:rsidRPr="00000000">
              <w:rPr>
                <w:rFonts w:ascii="Arial" w:cs="Arial" w:eastAsia="Arial" w:hAnsi="Arial"/>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Requires strict TCPA compliance and opt-out tracking.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Phone Call Reactivation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25% - 40% rebooking rate</w:t>
            </w:r>
            <w:r w:rsidDel="00000000" w:rsidR="00000000" w:rsidRPr="00000000">
              <w:rPr>
                <w:rFonts w:ascii="Arial" w:cs="Arial" w:eastAsia="Arial" w:hAnsi="Arial"/>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CRM must generate prioritized lists for front-desk staff.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Recurring Memberships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Locks in predictable monthly cash flow</w:t>
            </w:r>
            <w:r w:rsidDel="00000000" w:rsidR="00000000" w:rsidRPr="00000000">
              <w:rPr>
                <w:rFonts w:ascii="Arial" w:cs="Arial" w:eastAsia="Arial" w:hAnsi="Arial"/>
                <w:sz w:val="24"/>
                <w:szCs w:val="24"/>
                <w:vertAlign w:val="superscript"/>
                <w:rtl w:val="0"/>
              </w:rPr>
              <w:t xml:space="preserve">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Requires Stripe Billing integration and digital wallet passes.</w:t>
            </w:r>
          </w:p>
        </w:tc>
      </w:tr>
    </w:tbl>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Regulatory Compliance and Telecommunications Law</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deployment of a consumer-facing application that manages medical intake forms, processes aggressive text message marketing campaigns, and seeks global distribution via mobile app stores requires absolute adherence to a strict matrix of federal, state, and corporate regulatory standards. A failure to engineer compliance at the foundational architectural level exposes the platform to existential legal threats and catastrophic financial penalties.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Telecommunications and SMS Marketing (TCPA)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Automated text messaging is an essential mechanism for modern salons, proven to reduce appointment no-show rates by up to 40%</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However, commercial SMS communications are heavily regulated in the United States by the Telephone Consumer Protection Act (TCPA) and enforced by the FCC</w:t>
      </w:r>
      <w:r w:rsidDel="00000000" w:rsidR="00000000" w:rsidRPr="00000000">
        <w:rPr>
          <w:rFonts w:ascii="Arial" w:cs="Arial" w:eastAsia="Arial" w:hAnsi="Arial"/>
          <w:sz w:val="24"/>
          <w:szCs w:val="24"/>
          <w:vertAlign w:val="superscript"/>
          <w:rtl w:val="0"/>
        </w:rPr>
        <w:t xml:space="preserve">56</w:t>
      </w:r>
      <w:r w:rsidDel="00000000" w:rsidR="00000000" w:rsidRPr="00000000">
        <w:rPr>
          <w:rFonts w:ascii="Arial" w:cs="Arial" w:eastAsia="Arial" w:hAnsi="Arial"/>
          <w:rtl w:val="0"/>
        </w:rPr>
        <w:t xml:space="preserve">. The TCPA architecture demands a strict programmatic distinction between informational texts (such as immediate appointment reminders or transaction receipts) and promotional texts (such as marketing discounts, flash sales, or lapsed-client win-back offers)</w:t>
      </w:r>
      <w:r w:rsidDel="00000000" w:rsidR="00000000" w:rsidRPr="00000000">
        <w:rPr>
          <w:rFonts w:ascii="Arial" w:cs="Arial" w:eastAsia="Arial" w:hAnsi="Arial"/>
          <w:sz w:val="24"/>
          <w:szCs w:val="24"/>
          <w:vertAlign w:val="superscript"/>
          <w:rtl w:val="0"/>
        </w:rPr>
        <w:t xml:space="preserve">56</w:t>
      </w:r>
      <w:r w:rsidDel="00000000" w:rsidR="00000000" w:rsidRPr="00000000">
        <w:rPr>
          <w:rFonts w:ascii="Arial" w:cs="Arial" w:eastAsia="Arial" w:hAnsi="Arial"/>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Transmitting a promotional text legally requires the platform to secure prior express written consent from the consumer</w:t>
      </w:r>
      <w:r w:rsidDel="00000000" w:rsidR="00000000" w:rsidRPr="00000000">
        <w:rPr>
          <w:rFonts w:ascii="Arial" w:cs="Arial" w:eastAsia="Arial" w:hAnsi="Arial"/>
          <w:sz w:val="24"/>
          <w:szCs w:val="24"/>
          <w:vertAlign w:val="superscript"/>
          <w:rtl w:val="0"/>
        </w:rPr>
        <w:t xml:space="preserve">56</w:t>
      </w:r>
      <w:r w:rsidDel="00000000" w:rsidR="00000000" w:rsidRPr="00000000">
        <w:rPr>
          <w:rFonts w:ascii="Arial" w:cs="Arial" w:eastAsia="Arial" w:hAnsi="Arial"/>
          <w:rtl w:val="0"/>
        </w:rPr>
        <w:t xml:space="preserve">. This consent must be obtained via clear, conspicuous disclosures explicitly stating that the user agrees to receive automated marketing messages, and crucially, that this consent is not a required condition of purchasing a good or service</w:t>
      </w:r>
      <w:r w:rsidDel="00000000" w:rsidR="00000000" w:rsidRPr="00000000">
        <w:rPr>
          <w:rFonts w:ascii="Arial" w:cs="Arial" w:eastAsia="Arial" w:hAnsi="Arial"/>
          <w:sz w:val="24"/>
          <w:szCs w:val="24"/>
          <w:vertAlign w:val="superscript"/>
          <w:rtl w:val="0"/>
        </w:rPr>
        <w:t xml:space="preserve">56</w:t>
      </w:r>
      <w:r w:rsidDel="00000000" w:rsidR="00000000" w:rsidRPr="00000000">
        <w:rPr>
          <w:rFonts w:ascii="Arial" w:cs="Arial" w:eastAsia="Arial" w:hAnsi="Arial"/>
          <w:rtl w:val="0"/>
        </w:rPr>
        <w:t xml:space="preserve">. The database architecture must maintain an immutable, instantly auditable log of this consent, capturing the exact timestamp, the user's IP address, the specific origin of the opt-in (e.g., web form vs. in-person tablet), and the exact legal language presented to the user at the moment of agreement</w:t>
      </w:r>
      <w:r w:rsidDel="00000000" w:rsidR="00000000" w:rsidRPr="00000000">
        <w:rPr>
          <w:rFonts w:ascii="Arial" w:cs="Arial" w:eastAsia="Arial" w:hAnsi="Arial"/>
          <w:sz w:val="24"/>
          <w:szCs w:val="24"/>
          <w:vertAlign w:val="superscript"/>
          <w:rtl w:val="0"/>
        </w:rPr>
        <w:t xml:space="preserve">56</w:t>
      </w:r>
      <w:r w:rsidDel="00000000" w:rsidR="00000000" w:rsidRPr="00000000">
        <w:rPr>
          <w:rFonts w:ascii="Arial" w:cs="Arial" w:eastAsia="Arial" w:hAnsi="Arial"/>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Furthermore, the system must process opt-out requests with absolute immediacy. If a user replies with the keyword "STOP," the backend architecture must execute real-time suppression, instantly blacklisting the user's phone number across all marketing campaigns without waiting for a batch-processing cycle or human intervention</w:t>
      </w:r>
      <w:r w:rsidDel="00000000" w:rsidR="00000000" w:rsidRPr="00000000">
        <w:rPr>
          <w:rFonts w:ascii="Arial" w:cs="Arial" w:eastAsia="Arial" w:hAnsi="Arial"/>
          <w:sz w:val="24"/>
          <w:szCs w:val="24"/>
          <w:vertAlign w:val="superscript"/>
          <w:rtl w:val="0"/>
        </w:rPr>
        <w:t xml:space="preserve">56</w:t>
      </w:r>
      <w:r w:rsidDel="00000000" w:rsidR="00000000" w:rsidRPr="00000000">
        <w:rPr>
          <w:rFonts w:ascii="Arial" w:cs="Arial" w:eastAsia="Arial" w:hAnsi="Arial"/>
          <w:rtl w:val="0"/>
        </w:rPr>
        <w:t xml:space="preserve">. The software must also dynamically restrict the delivery of outbound marketing messages to comply with strict time-of-day restrictions. The TCPA mandates that no promotional texts may be delivered outside the hours of 8:00 AM to 9:00 PM in the recipient's local time zone, requiring the backend to calculate the recipient's geographic location prior to dispatch</w:t>
      </w:r>
      <w:r w:rsidDel="00000000" w:rsidR="00000000" w:rsidRPr="00000000">
        <w:rPr>
          <w:rFonts w:ascii="Arial" w:cs="Arial" w:eastAsia="Arial" w:hAnsi="Arial"/>
          <w:sz w:val="24"/>
          <w:szCs w:val="24"/>
          <w:vertAlign w:val="superscript"/>
          <w:rtl w:val="0"/>
        </w:rPr>
        <w:t xml:space="preserve">56</w:t>
      </w:r>
      <w:r w:rsidDel="00000000" w:rsidR="00000000" w:rsidRPr="00000000">
        <w:rPr>
          <w:rFonts w:ascii="Arial" w:cs="Arial" w:eastAsia="Arial" w:hAnsi="Arial"/>
          <w:rtl w:val="0"/>
        </w:rPr>
        <w:t xml:space="preserve">. Violations of the TCPA carry severe statutory damages ranging from $500 to $1,500 per individual non-compliant text message</w:t>
      </w:r>
      <w:r w:rsidDel="00000000" w:rsidR="00000000" w:rsidRPr="00000000">
        <w:rPr>
          <w:rFonts w:ascii="Arial" w:cs="Arial" w:eastAsia="Arial" w:hAnsi="Arial"/>
          <w:sz w:val="24"/>
          <w:szCs w:val="24"/>
          <w:vertAlign w:val="superscript"/>
          <w:rtl w:val="0"/>
        </w:rPr>
        <w:t xml:space="preserve">56</w:t>
      </w:r>
      <w:r w:rsidDel="00000000" w:rsidR="00000000" w:rsidRPr="00000000">
        <w:rPr>
          <w:rFonts w:ascii="Arial" w:cs="Arial" w:eastAsia="Arial" w:hAnsi="Arial"/>
          <w:rtl w:val="0"/>
        </w:rPr>
        <w:t xml:space="preserve">. Given the volume of automated messages generated by a multi-tenant platform, failure to encode these constraints programmatically guarantees class-action litigation that could bankrupt the software provider.</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Medical Data and Health Intake Forms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Many comprehensive salons and medical spas offer advanced esthetic services that necessitate the collection of highly sensitive health information. Services such as eyelash extensions, aggressive chemical peels, or permanent makeup require detailed client intake forms that capture medical histories, known allergies, pregnancy status, and current pharmaceutical medications</w:t>
      </w:r>
      <w:r w:rsidDel="00000000" w:rsidR="00000000" w:rsidRPr="00000000">
        <w:rPr>
          <w:rFonts w:ascii="Arial" w:cs="Arial" w:eastAsia="Arial" w:hAnsi="Arial"/>
          <w:sz w:val="24"/>
          <w:szCs w:val="24"/>
          <w:vertAlign w:val="superscript"/>
          <w:rtl w:val="0"/>
        </w:rPr>
        <w:t xml:space="preserve">60</w:t>
      </w:r>
      <w:r w:rsidDel="00000000" w:rsidR="00000000" w:rsidRPr="00000000">
        <w:rPr>
          <w:rFonts w:ascii="Arial" w:cs="Arial" w:eastAsia="Arial" w:hAnsi="Arial"/>
          <w:rtl w:val="0"/>
        </w:rPr>
        <w:t xml:space="preserve">. The system must also facilitate the electronic signing and secure cryptographic storage of patch test consent forms. These documents legally release the practitioner from liability regarding severe allergic reactions to applied pigments or chemical compounds, and serve as critical defense evidence in civil litigation</w:t>
      </w:r>
      <w:r w:rsidDel="00000000" w:rsidR="00000000" w:rsidRPr="00000000">
        <w:rPr>
          <w:rFonts w:ascii="Arial" w:cs="Arial" w:eastAsia="Arial" w:hAnsi="Arial"/>
          <w:sz w:val="24"/>
          <w:szCs w:val="24"/>
          <w:vertAlign w:val="superscript"/>
          <w:rtl w:val="0"/>
        </w:rPr>
        <w:t xml:space="preserve">60</w:t>
      </w:r>
      <w:r w:rsidDel="00000000" w:rsidR="00000000" w:rsidRPr="00000000">
        <w:rPr>
          <w:rFonts w:ascii="Arial" w:cs="Arial" w:eastAsia="Arial" w:hAnsi="Arial"/>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Because this specific data frequently qualifies as Protected Health Information (PHI), the database architecture and document storage protocols must comply with the strictures of the Health Insurance Portability and Accountability Act (HIPAA), as well as regional privacy frameworks like the California Consumer Privacy Act (CCPA) and the European General Data Protection Regulation (GDPR)</w:t>
      </w:r>
      <w:r w:rsidDel="00000000" w:rsidR="00000000" w:rsidRPr="00000000">
        <w:rPr>
          <w:rFonts w:ascii="Arial" w:cs="Arial" w:eastAsia="Arial" w:hAnsi="Arial"/>
          <w:sz w:val="24"/>
          <w:szCs w:val="24"/>
          <w:vertAlign w:val="superscript"/>
          <w:rtl w:val="0"/>
        </w:rPr>
        <w:t xml:space="preserve">60</w:t>
      </w:r>
      <w:r w:rsidDel="00000000" w:rsidR="00000000" w:rsidRPr="00000000">
        <w:rPr>
          <w:rFonts w:ascii="Arial" w:cs="Arial" w:eastAsia="Arial" w:hAnsi="Arial"/>
          <w:rtl w:val="0"/>
        </w:rPr>
        <w:t xml:space="preserve">. This necessitates rigorous AES-256 encryption of data both at rest in the database and in transit across the network. The system must implement strict Role-Based Access Control (RBAC) logic to ensure only explicitly authorized medical or esthetic personnel can view the medical intake forms, and it must support automated data deletion requests to honor global consumer privacy rights</w:t>
      </w:r>
      <w:r w:rsidDel="00000000" w:rsidR="00000000" w:rsidRPr="00000000">
        <w:rPr>
          <w:rFonts w:ascii="Arial" w:cs="Arial" w:eastAsia="Arial" w:hAnsi="Arial"/>
          <w:sz w:val="24"/>
          <w:szCs w:val="24"/>
          <w:vertAlign w:val="superscript"/>
          <w:rtl w:val="0"/>
        </w:rPr>
        <w:t xml:space="preserve">60</w:t>
      </w:r>
      <w:r w:rsidDel="00000000" w:rsidR="00000000" w:rsidRPr="00000000">
        <w:rPr>
          <w:rFonts w:ascii="Arial" w:cs="Arial" w:eastAsia="Arial" w:hAnsi="Arial"/>
          <w:rtl w:val="0"/>
        </w:rPr>
        <w:t xml:space="preserv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Apple App Store Guidelines and In-App Deletion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successfully distribute the mobile client application via the iOS ecosystem, the architecture must strictly adhere to the constantly evolving Apple App Store Review Guidelines. A critical regulatory hurdle is Guideline 5.1.1, which mandates that any application supporting account creation must also provide users with a highly visible, frictionless pathway to initiate the complete deletion of their account from directly within the application interface</w:t>
      </w:r>
      <w:r w:rsidDel="00000000" w:rsidR="00000000" w:rsidRPr="00000000">
        <w:rPr>
          <w:rFonts w:ascii="Arial" w:cs="Arial" w:eastAsia="Arial" w:hAnsi="Arial"/>
          <w:sz w:val="24"/>
          <w:szCs w:val="24"/>
          <w:vertAlign w:val="superscript"/>
          <w:rtl w:val="0"/>
        </w:rPr>
        <w:t xml:space="preserve">64</w:t>
      </w:r>
      <w:r w:rsidDel="00000000" w:rsidR="00000000" w:rsidRPr="00000000">
        <w:rPr>
          <w:rFonts w:ascii="Arial" w:cs="Arial" w:eastAsia="Arial" w:hAnsi="Arial"/>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requirement carries profound architectural and database implications. Simply disabling the user's login access or temporarily deactivating a user record by flipping an is_active boolean flag to false in the database is explicitly deemed insufficient by Apple</w:t>
      </w:r>
      <w:r w:rsidDel="00000000" w:rsidR="00000000" w:rsidRPr="00000000">
        <w:rPr>
          <w:rFonts w:ascii="Arial" w:cs="Arial" w:eastAsia="Arial" w:hAnsi="Arial"/>
          <w:sz w:val="24"/>
          <w:szCs w:val="24"/>
          <w:vertAlign w:val="superscript"/>
          <w:rtl w:val="0"/>
        </w:rPr>
        <w:t xml:space="preserve">64</w:t>
      </w:r>
      <w:r w:rsidDel="00000000" w:rsidR="00000000" w:rsidRPr="00000000">
        <w:rPr>
          <w:rFonts w:ascii="Arial" w:cs="Arial" w:eastAsia="Arial" w:hAnsi="Arial"/>
          <w:rtl w:val="0"/>
        </w:rPr>
        <w:t xml:space="preserve">. The system must execute a hard, cryptographic deletion of the account and all associated personal data from the platform's backend servers. The only exception permits the retention of specific data points that the developer is legally mandated to maintain for compliance purposes, such as financial transaction records required for IRS tax auditing</w:t>
      </w:r>
      <w:r w:rsidDel="00000000" w:rsidR="00000000" w:rsidRPr="00000000">
        <w:rPr>
          <w:rFonts w:ascii="Arial" w:cs="Arial" w:eastAsia="Arial" w:hAnsi="Arial"/>
          <w:sz w:val="24"/>
          <w:szCs w:val="24"/>
          <w:vertAlign w:val="superscript"/>
          <w:rtl w:val="0"/>
        </w:rPr>
        <w:t xml:space="preserve">64</w:t>
      </w:r>
      <w:r w:rsidDel="00000000" w:rsidR="00000000" w:rsidRPr="00000000">
        <w:rPr>
          <w:rFonts w:ascii="Arial" w:cs="Arial" w:eastAsia="Arial" w:hAnsi="Arial"/>
          <w:rtl w:val="0"/>
        </w:rPr>
        <w:t xml:space="preserve">. If the application utilizes the "Sign in with Apple" SSO framework, the deletion workflow must integrate via OAuth with the Sign in with Apple REST API to programmatically revoke the user's authentication tokens on Apple's servers</w:t>
      </w:r>
      <w:r w:rsidDel="00000000" w:rsidR="00000000" w:rsidRPr="00000000">
        <w:rPr>
          <w:rFonts w:ascii="Arial" w:cs="Arial" w:eastAsia="Arial" w:hAnsi="Arial"/>
          <w:sz w:val="24"/>
          <w:szCs w:val="24"/>
          <w:vertAlign w:val="superscript"/>
          <w:rtl w:val="0"/>
        </w:rPr>
        <w:t xml:space="preserve">67</w:t>
      </w:r>
      <w:r w:rsidDel="00000000" w:rsidR="00000000" w:rsidRPr="00000000">
        <w:rPr>
          <w:rFonts w:ascii="Arial" w:cs="Arial" w:eastAsia="Arial" w:hAnsi="Arial"/>
          <w:rtl w:val="0"/>
        </w:rPr>
        <w:t xml:space="preserve">. Failure to engineer this end-to-end hard deletion workflow will result in immediate, non-negotiable rejection during the App Store review process</w:t>
      </w:r>
      <w:r w:rsidDel="00000000" w:rsidR="00000000" w:rsidRPr="00000000">
        <w:rPr>
          <w:rFonts w:ascii="Arial" w:cs="Arial" w:eastAsia="Arial" w:hAnsi="Arial"/>
          <w:sz w:val="24"/>
          <w:szCs w:val="24"/>
          <w:vertAlign w:val="superscript"/>
          <w:rtl w:val="0"/>
        </w:rPr>
        <w:t xml:space="preserve">68</w:t>
      </w:r>
      <w:r w:rsidDel="00000000" w:rsidR="00000000" w:rsidRPr="00000000">
        <w:rPr>
          <w:rFonts w:ascii="Arial" w:cs="Arial" w:eastAsia="Arial" w:hAnsi="Arial"/>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Additionally, the application must carefully navigate App Store rules regarding digital purchases. While physical goods (like retail shampoo) and real-world services (like booking a physical haircut) are transacted via external payment gateways like Stripe Connect, the sale of purely digital goods, virtual access, or software features requires the exclusive use of Apple's native In-App Purchase (IAP) framework</w:t>
      </w:r>
      <w:r w:rsidDel="00000000" w:rsidR="00000000" w:rsidRPr="00000000">
        <w:rPr>
          <w:rFonts w:ascii="Arial" w:cs="Arial" w:eastAsia="Arial" w:hAnsi="Arial"/>
          <w:sz w:val="24"/>
          <w:szCs w:val="24"/>
          <w:vertAlign w:val="superscript"/>
          <w:rtl w:val="0"/>
        </w:rPr>
        <w:t xml:space="preserve">70</w:t>
      </w:r>
      <w:r w:rsidDel="00000000" w:rsidR="00000000" w:rsidRPr="00000000">
        <w:rPr>
          <w:rFonts w:ascii="Arial" w:cs="Arial" w:eastAsia="Arial" w:hAnsi="Arial"/>
          <w:rtl w:val="0"/>
        </w:rPr>
        <w:t xml:space="preserve">. The backend architecture must clearly bifurcate payment routing logic based on the specific nature of the transaction to remain compliant and avoid application delisting</w:t>
      </w:r>
      <w:r w:rsidDel="00000000" w:rsidR="00000000" w:rsidRPr="00000000">
        <w:rPr>
          <w:rFonts w:ascii="Arial" w:cs="Arial" w:eastAsia="Arial" w:hAnsi="Arial"/>
          <w:sz w:val="24"/>
          <w:szCs w:val="24"/>
          <w:vertAlign w:val="superscript"/>
          <w:rtl w:val="0"/>
        </w:rPr>
        <w:t xml:space="preserve">70</w:t>
      </w:r>
      <w:r w:rsidDel="00000000" w:rsidR="00000000" w:rsidRPr="00000000">
        <w:rPr>
          <w:rFonts w:ascii="Arial" w:cs="Arial" w:eastAsia="Arial" w:hAnsi="Arial"/>
          <w:rtl w:val="0"/>
        </w:rPr>
        <w:t xml:space="preserve">.</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Unresolved Architectural Dependencies: Additional Research Requirements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rtl w:val="0"/>
        </w:rPr>
        <w:t xml:space="preserve">The central, motivating inquiry of this analysis is to determine whether additional research is necessary before handing the defined project parameters to an autonomous planning agent for immediate codebase construction. Based on an exhaustive synthesis of the provided market analysis, operational logic, and regulatory data, </w:t>
      </w:r>
      <w:r w:rsidDel="00000000" w:rsidR="00000000" w:rsidRPr="00000000">
        <w:rPr>
          <w:rFonts w:ascii="Arial" w:cs="Arial" w:eastAsia="Arial" w:hAnsi="Arial"/>
          <w:b w:val="1"/>
          <w:bCs w:val="1"/>
          <w:rtl w:val="0"/>
        </w:rPr>
        <w:t xml:space="preserve">the current corpus of information is materially and profoundly insufficient for a planning agent to execute functional software construction.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While the provided research comprehensively outlines the </w:t>
      </w:r>
      <w:r w:rsidDel="00000000" w:rsidR="00000000" w:rsidRPr="00000000">
        <w:rPr>
          <w:rFonts w:ascii="Arial" w:cs="Arial" w:eastAsia="Arial" w:hAnsi="Arial"/>
          <w:i w:val="1"/>
          <w:iCs w:val="1"/>
          <w:rtl w:val="0"/>
        </w:rPr>
        <w:t xml:space="preserve">business logic</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legal constraints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i w:val="1"/>
          <w:iCs w:val="1"/>
          <w:rtl w:val="0"/>
        </w:rPr>
        <w:t xml:space="preserve">high-level structural patterns</w:t>
      </w:r>
      <w:r w:rsidDel="00000000" w:rsidR="00000000" w:rsidRPr="00000000">
        <w:rPr>
          <w:rFonts w:ascii="Arial" w:cs="Arial" w:eastAsia="Arial" w:hAnsi="Arial"/>
          <w:rtl w:val="0"/>
        </w:rPr>
        <w:t xml:space="preserve">, it critically lacks the explicit, low-level technical specifications, precise API payload contracts, and hardware communication protocols strictly required by a compiler or automated coding agent to generate production-ready code. Handing this current, purely theoretical dataset to a planning agent will result in severe architectural hallucinations, the generation of pseudo-code, and immediately halted progress.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ensure the planning agent requires zero further human intervention or research, the following deeply technical domains must be thoroughly researched and appended to the specification document:</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Bluetooth Low Energy (BLE) Protocol Specifications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system mandates physical hardware integration with devices like the "Vish" smart scale to capture minute chemical weights</w:t>
      </w:r>
      <w:r w:rsidDel="00000000" w:rsidR="00000000" w:rsidRPr="00000000">
        <w:rPr>
          <w:rFonts w:ascii="Arial" w:cs="Arial" w:eastAsia="Arial" w:hAnsi="Arial"/>
          <w:sz w:val="24"/>
          <w:szCs w:val="24"/>
          <w:vertAlign w:val="superscript"/>
          <w:rtl w:val="0"/>
        </w:rPr>
        <w:t xml:space="preserve">44</w:t>
      </w:r>
      <w:r w:rsidDel="00000000" w:rsidR="00000000" w:rsidRPr="00000000">
        <w:rPr>
          <w:rFonts w:ascii="Arial" w:cs="Arial" w:eastAsia="Arial" w:hAnsi="Arial"/>
          <w:rtl w:val="0"/>
        </w:rPr>
        <w:t xml:space="preserve">. The current research broadly states that this connection is achieved via Bluetooth, but provides absolutely no technical implementation documentation</w:t>
      </w:r>
      <w:r w:rsidDel="00000000" w:rsidR="00000000" w:rsidRPr="00000000">
        <w:rPr>
          <w:rFonts w:ascii="Arial" w:cs="Arial" w:eastAsia="Arial" w:hAnsi="Arial"/>
          <w:sz w:val="24"/>
          <w:szCs w:val="24"/>
          <w:vertAlign w:val="superscript"/>
          <w:rtl w:val="0"/>
        </w:rPr>
        <w:t xml:space="preserve">45</w:t>
      </w:r>
      <w:r w:rsidDel="00000000" w:rsidR="00000000" w:rsidRPr="00000000">
        <w:rPr>
          <w:rFonts w:ascii="Arial" w:cs="Arial" w:eastAsia="Arial" w:hAnsi="Arial"/>
          <w:rtl w:val="0"/>
        </w:rPr>
        <w:t xml:space="preserve">. A planning agent requires the specific BLE Generic Attribute Profile (GATT) specifications to write the React Native integration. Deep technical research must uncover the exact service UUIDs and characteristic UUIDs utilized by targeted smart scales. Furthermore, the agent requires the byte array structure of the streaming weight data, the endianness of the payload, and the specific handshake protocols required to pair and maintain a persistent, uninterrupted connection between the mobile client and the peripheral hardware during a busy salon service.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Stripe Terminal Physical Hardware SDK Integration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While the provided research deeply covers online, card-not-present payment routing via Stripe Connect (detailing Express accounts, direct versus destination charges, and webhooks)</w:t>
      </w: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rtl w:val="0"/>
        </w:rPr>
        <w:t xml:space="preserve">, it wholly omits the technical requirements for physical, in-person Point of Sale (POS) transactions. Salons operate physically; they require hardware card readers (e.g., tap-to-pay, EMV chip readers) at the front desk. Exhaustive research must be conducted into the Stripe Terminal SDK for iOS and Android environments. The planning agent requires the exact initialization sequences, the firmware update mechanisms executed over-the-air (OTA), and the programmatic flow for capturing a physical card-present transaction, tokenizing it, and routing that token to the appropriate multi-tenant Stripe Connect account on the backend.</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Detailed Entity-Relationship Diagram (ERD) and Schema Definitions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research establishes that a shared-table PostgreSQL database utilizing a tenant_id column and Row-Level Security (RLS) is the mathematically optimal strategy</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However, it does not provide the actual relational mapping</w:t>
      </w:r>
      <w:r w:rsidDel="00000000" w:rsidR="00000000" w:rsidRPr="00000000">
        <w:rPr>
          <w:rFonts w:ascii="Arial" w:cs="Arial" w:eastAsia="Arial" w:hAnsi="Arial"/>
          <w:sz w:val="24"/>
          <w:szCs w:val="24"/>
          <w:vertAlign w:val="superscript"/>
          <w:rtl w:val="0"/>
        </w:rPr>
        <w:t xml:space="preserve">71</w:t>
      </w:r>
      <w:r w:rsidDel="00000000" w:rsidR="00000000" w:rsidRPr="00000000">
        <w:rPr>
          <w:rFonts w:ascii="Arial" w:cs="Arial" w:eastAsia="Arial" w:hAnsi="Arial"/>
          <w:rtl w:val="0"/>
        </w:rPr>
        <w:t xml:space="preserve">. A planning agent cannot infer a database; it requires a highly specific, normalized Entity-Relationship Diagram (ERD) mapping out the exact intersections, foreign keys, and cascading deletion rules between Users, Tenants, Services, Appointments, Inventory, and Formulas. Specifically, mathematical research must define the logic and database constraints required to model "gap time" and "processing time" scheduling algorithms within the Appointments table to successfully facilitate the double-booking of resources without triggering logical schedule collisions.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 Middleware and Backend Framework Configurations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data implies a backend architecture interacting with PostgreSQL and Stripe, but does not define the middleware technology stack. Research is required to dictate whether the planning agent should construct a GraphQL API utilizing Apollo Server, or a strictly RESTful JSON API using a framework like NestJS or Express. Furthermore, the exact Object-Relational Mapping (ORM) configurations (e.g., Prisma, TypeORM, or Drizzle) must be explicitly specified. The agent needs to know exactly how the ORM will dynamically inject the execution context (the tenant_id) into the connection pool to mathematically enforce the database-level RLS policies on every single incoming HTTP request.</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 WatermelonDB Synchronization API Contracts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mobile architecture dictates the use of WatermelonDB for its offline-first, SQLite-backed capabilities</w:t>
      </w:r>
      <w:r w:rsidDel="00000000" w:rsidR="00000000" w:rsidRPr="00000000">
        <w:rPr>
          <w:rFonts w:ascii="Arial" w:cs="Arial" w:eastAsia="Arial" w:hAnsi="Arial"/>
          <w:sz w:val="24"/>
          <w:szCs w:val="24"/>
          <w:vertAlign w:val="superscript"/>
          <w:rtl w:val="0"/>
        </w:rPr>
        <w:t xml:space="preserve">39</w:t>
      </w:r>
      <w:r w:rsidDel="00000000" w:rsidR="00000000" w:rsidRPr="00000000">
        <w:rPr>
          <w:rFonts w:ascii="Arial" w:cs="Arial" w:eastAsia="Arial" w:hAnsi="Arial"/>
          <w:rtl w:val="0"/>
        </w:rPr>
        <w:t xml:space="preserve">. The current research explains the abstract theory of WatermelonDB's timestamp-based synchronization</w:t>
      </w:r>
      <w:r w:rsidDel="00000000" w:rsidR="00000000" w:rsidRPr="00000000">
        <w:rPr>
          <w:rFonts w:ascii="Arial" w:cs="Arial" w:eastAsia="Arial" w:hAnsi="Arial"/>
          <w:sz w:val="24"/>
          <w:szCs w:val="24"/>
          <w:vertAlign w:val="superscript"/>
          <w:rtl w:val="0"/>
        </w:rPr>
        <w:t xml:space="preserve">39</w:t>
      </w:r>
      <w:r w:rsidDel="00000000" w:rsidR="00000000" w:rsidRPr="00000000">
        <w:rPr>
          <w:rFonts w:ascii="Arial" w:cs="Arial" w:eastAsia="Arial" w:hAnsi="Arial"/>
          <w:rtl w:val="0"/>
        </w:rPr>
        <w:t xml:space="preserve">, but it lacks the concrete API contracts required to write the server-side code. Research must be compiled detailing the exact JSON payload structures the backend must generate for the pullChanges endpoint. Additionally, the agent requires the strict validation logic for the pushChanges endpoint, including explicitly defined conflict resolution strategies for the inevitable scenario where a single database record is concurrently modified on two separate offline devices, and both attempt to sync to the server simultaneously.</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 Cloud Infrastructure and DevOps Topologies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There is an absolute absence of infrastructure and deployment requirements in the provided data. The planning agent needs concrete specifications regarding the target hosting environment to generate the surrounding DevOps code. Research must define the cloud provider (e.g., AWS, GCP, Azure), the containerization strategy and orchestration engine (e.g., Docker, Kubernetes, ECS), the CI/CD pipeline architecture (e.g., GitHub Actions, GitLab CI), and the specific horizontal scaling triggers based on CPU or memory thresholds. Without this data, the planning agent cannot generate the necessary Terraform scripts, Docker Compose files, or deployment manifests required to actually host and operate the application it constructs.</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Salon Booking &amp; POS Software for 2026 (Compared) | Fund $50K–$500K Same-Day, </w:t>
      </w:r>
      <w:hyperlink r:id="rId6">
        <w:r w:rsidDel="00000000" w:rsidR="00000000" w:rsidRPr="00000000">
          <w:rPr>
            <w:rFonts w:ascii="Arial" w:cs="Arial" w:eastAsia="Arial" w:hAnsi="Arial"/>
            <w:color w:val="0000ee"/>
            <w:sz w:val="24"/>
            <w:szCs w:val="24"/>
            <w:u w:val="single"/>
            <w:rtl w:val="0"/>
          </w:rPr>
          <w:t xml:space="preserve">https://byzfunder.com/resources/salons/best-salon-booking-software</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Fresha vs Vagaro: pricing, fees, and features compared - GlossGenius, </w:t>
      </w:r>
      <w:hyperlink r:id="rId7">
        <w:r w:rsidDel="00000000" w:rsidR="00000000" w:rsidRPr="00000000">
          <w:rPr>
            <w:rFonts w:ascii="Arial" w:cs="Arial" w:eastAsia="Arial" w:hAnsi="Arial"/>
            <w:color w:val="0000ee"/>
            <w:sz w:val="24"/>
            <w:szCs w:val="24"/>
            <w:u w:val="single"/>
            <w:rtl w:val="0"/>
          </w:rPr>
          <w:t xml:space="preserve">https://glossgenius.com/blog/fresha-vs-vagaro</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Square vs Vagaro vs GlossGenius vs Fresha: 2026 Salon Pick - The Local Gem, </w:t>
      </w:r>
      <w:hyperlink r:id="rId8">
        <w:r w:rsidDel="00000000" w:rsidR="00000000" w:rsidRPr="00000000">
          <w:rPr>
            <w:rFonts w:ascii="Arial" w:cs="Arial" w:eastAsia="Arial" w:hAnsi="Arial"/>
            <w:color w:val="0000ee"/>
            <w:sz w:val="24"/>
            <w:szCs w:val="24"/>
            <w:u w:val="single"/>
            <w:rtl w:val="0"/>
          </w:rPr>
          <w:t xml:space="preserve">https://www.thelocalgem.com/blog/square-vs-vagaro-vs-glossgenius-vs-fresha-2026-salon-pick</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Free Salon App Builder: Build Salon Booking Apps With AI - Appy Pie AI, </w:t>
      </w:r>
      <w:hyperlink r:id="rId9">
        <w:r w:rsidDel="00000000" w:rsidR="00000000" w:rsidRPr="00000000">
          <w:rPr>
            <w:rFonts w:ascii="Arial" w:cs="Arial" w:eastAsia="Arial" w:hAnsi="Arial"/>
            <w:color w:val="0000ee"/>
            <w:sz w:val="24"/>
            <w:szCs w:val="24"/>
            <w:u w:val="single"/>
            <w:rtl w:val="0"/>
          </w:rPr>
          <w:t xml:space="preserve">https://www.appypie.com/salon-app-builder</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Vagaro vs Fresha vs Boulevard: Best Salon Software Compared - AgentZap.ai, </w:t>
      </w:r>
      <w:hyperlink r:id="rId10">
        <w:r w:rsidDel="00000000" w:rsidR="00000000" w:rsidRPr="00000000">
          <w:rPr>
            <w:rFonts w:ascii="Arial" w:cs="Arial" w:eastAsia="Arial" w:hAnsi="Arial"/>
            <w:color w:val="0000ee"/>
            <w:sz w:val="24"/>
            <w:szCs w:val="24"/>
            <w:u w:val="single"/>
            <w:rtl w:val="0"/>
          </w:rPr>
          <w:t xml:space="preserve">https://agentzap.ai/blog/vagaro-vs-fresha-vs-boulevard-salon-software-2026</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Salon Software 2026: Top 7 Platforms Compared, </w:t>
      </w:r>
      <w:hyperlink r:id="rId11">
        <w:r w:rsidDel="00000000" w:rsidR="00000000" w:rsidRPr="00000000">
          <w:rPr>
            <w:rFonts w:ascii="Arial" w:cs="Arial" w:eastAsia="Arial" w:hAnsi="Arial"/>
            <w:color w:val="0000ee"/>
            <w:sz w:val="24"/>
            <w:szCs w:val="24"/>
            <w:u w:val="single"/>
            <w:rtl w:val="0"/>
          </w:rPr>
          <w:t xml:space="preserve">https://dingg.app/blogs/top-7-salon-management-softwares-in-the-us-2025-edition</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Booking Software for Hairstylists &amp; Colorists - Dabicus.com, </w:t>
      </w:r>
      <w:hyperlink r:id="rId12">
        <w:r w:rsidDel="00000000" w:rsidR="00000000" w:rsidRPr="00000000">
          <w:rPr>
            <w:rFonts w:ascii="Arial" w:cs="Arial" w:eastAsia="Arial" w:hAnsi="Arial"/>
            <w:color w:val="0000ee"/>
            <w:sz w:val="24"/>
            <w:szCs w:val="24"/>
            <w:u w:val="single"/>
            <w:rtl w:val="0"/>
          </w:rPr>
          <w:t xml:space="preserve">https://www.dabicus.com/booking-software/hairstylist</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Best Salon Scheduling Apps in 2026 - Homebase, </w:t>
      </w:r>
      <w:hyperlink r:id="rId13">
        <w:r w:rsidDel="00000000" w:rsidR="00000000" w:rsidRPr="00000000">
          <w:rPr>
            <w:rFonts w:ascii="Arial" w:cs="Arial" w:eastAsia="Arial" w:hAnsi="Arial"/>
            <w:color w:val="0000ee"/>
            <w:sz w:val="24"/>
            <w:szCs w:val="24"/>
            <w:u w:val="single"/>
            <w:rtl w:val="0"/>
          </w:rPr>
          <w:t xml:space="preserve">https://www.joinhomebase.com/blog/best-salon-scheduling-app</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Double Booking: the Good, the Bad and the Ugly | StyleSeat, </w:t>
      </w:r>
      <w:hyperlink r:id="rId14">
        <w:r w:rsidDel="00000000" w:rsidR="00000000" w:rsidRPr="00000000">
          <w:rPr>
            <w:rFonts w:ascii="Arial" w:cs="Arial" w:eastAsia="Arial" w:hAnsi="Arial"/>
            <w:color w:val="0000ee"/>
            <w:sz w:val="24"/>
            <w:szCs w:val="24"/>
            <w:u w:val="single"/>
            <w:rtl w:val="0"/>
          </w:rPr>
          <w:t xml:space="preserve">https://www.styleseat.com/blog/how-can-double-booking-increase-your-income/</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Stop Double-Booking Issues with Beauty Salon Software - Sparkalz, </w:t>
      </w:r>
      <w:hyperlink r:id="rId15">
        <w:r w:rsidDel="00000000" w:rsidR="00000000" w:rsidRPr="00000000">
          <w:rPr>
            <w:rFonts w:ascii="Arial" w:cs="Arial" w:eastAsia="Arial" w:hAnsi="Arial"/>
            <w:color w:val="0000ee"/>
            <w:sz w:val="24"/>
            <w:szCs w:val="24"/>
            <w:u w:val="single"/>
            <w:rtl w:val="0"/>
          </w:rPr>
          <w:t xml:space="preserve">https://sparkalz.com/stop-double-booking-issues-with-beauty-salon-software/</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Salon Card - Apps on Google Play, </w:t>
      </w:r>
      <w:hyperlink r:id="rId16">
        <w:r w:rsidDel="00000000" w:rsidR="00000000" w:rsidRPr="00000000">
          <w:rPr>
            <w:rFonts w:ascii="Arial" w:cs="Arial" w:eastAsia="Arial" w:hAnsi="Arial"/>
            <w:color w:val="0000ee"/>
            <w:sz w:val="24"/>
            <w:szCs w:val="24"/>
            <w:u w:val="single"/>
            <w:rtl w:val="0"/>
          </w:rPr>
          <w:t xml:space="preserve">https://play.google.com/store/apps/details?id=com.saloncard&amp;hl=en_US</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Salon Formulator - Apps on Google Play, </w:t>
      </w:r>
      <w:hyperlink r:id="rId17">
        <w:r w:rsidDel="00000000" w:rsidR="00000000" w:rsidRPr="00000000">
          <w:rPr>
            <w:rFonts w:ascii="Arial" w:cs="Arial" w:eastAsia="Arial" w:hAnsi="Arial"/>
            <w:color w:val="0000ee"/>
            <w:sz w:val="24"/>
            <w:szCs w:val="24"/>
            <w:u w:val="single"/>
            <w:rtl w:val="0"/>
          </w:rPr>
          <w:t xml:space="preserve">https://play.google.com/store/apps/details?id=com.jacksontempra.apps.hea</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Salon Formulator - App Store - Apple, </w:t>
      </w:r>
      <w:hyperlink r:id="rId18">
        <w:r w:rsidDel="00000000" w:rsidR="00000000" w:rsidRPr="00000000">
          <w:rPr>
            <w:rFonts w:ascii="Arial" w:cs="Arial" w:eastAsia="Arial" w:hAnsi="Arial"/>
            <w:color w:val="0000ee"/>
            <w:sz w:val="24"/>
            <w:szCs w:val="24"/>
            <w:u w:val="single"/>
            <w:rtl w:val="0"/>
          </w:rPr>
          <w:t xml:space="preserve">https://apps.apple.com/us/app/salon-formulator/id1599934815</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Salon SMS Marketing: How to Use Text Messages to Fill Your Calendar - Zoca AI, </w:t>
      </w:r>
      <w:hyperlink r:id="rId19">
        <w:r w:rsidDel="00000000" w:rsidR="00000000" w:rsidRPr="00000000">
          <w:rPr>
            <w:rFonts w:ascii="Arial" w:cs="Arial" w:eastAsia="Arial" w:hAnsi="Arial"/>
            <w:color w:val="0000ee"/>
            <w:sz w:val="24"/>
            <w:szCs w:val="24"/>
            <w:u w:val="single"/>
            <w:rtl w:val="0"/>
          </w:rPr>
          <w:t xml:space="preserve">https://zoca.com/post/salon-sms-marketing-how-to-use-text-messages-to-fill-your-calendar</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SMS Marketing for Salons &amp; Spas - EZ Texting, </w:t>
      </w:r>
      <w:hyperlink r:id="rId20">
        <w:r w:rsidDel="00000000" w:rsidR="00000000" w:rsidRPr="00000000">
          <w:rPr>
            <w:rFonts w:ascii="Arial" w:cs="Arial" w:eastAsia="Arial" w:hAnsi="Arial"/>
            <w:color w:val="0000ee"/>
            <w:sz w:val="24"/>
            <w:szCs w:val="24"/>
            <w:u w:val="single"/>
            <w:rtl w:val="0"/>
          </w:rPr>
          <w:t xml:space="preserve">https://www.eztexting.com/use-cases/hospitality/salons-spas</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Can a Booth Renter Write Off in 2026? Complete Tax Deduction Guide for Salon &amp; Beauty Professionals - Uncle Kam, </w:t>
      </w:r>
      <w:hyperlink r:id="rId21">
        <w:r w:rsidDel="00000000" w:rsidR="00000000" w:rsidRPr="00000000">
          <w:rPr>
            <w:rFonts w:ascii="Arial" w:cs="Arial" w:eastAsia="Arial" w:hAnsi="Arial"/>
            <w:color w:val="0000ee"/>
            <w:sz w:val="24"/>
            <w:szCs w:val="24"/>
            <w:u w:val="single"/>
            <w:rtl w:val="0"/>
          </w:rPr>
          <w:t xml:space="preserve">https://unclekam.com/tax-strategy-blog/what-can-a-booth-renter-write-off-in-2026-complete-tax-deduction-guide-for-salon-beauty-professionals/</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Hair Salon Bookkeeping Services - Turnkey CFO, </w:t>
      </w:r>
      <w:hyperlink r:id="rId22">
        <w:r w:rsidDel="00000000" w:rsidR="00000000" w:rsidRPr="00000000">
          <w:rPr>
            <w:rFonts w:ascii="Arial" w:cs="Arial" w:eastAsia="Arial" w:hAnsi="Arial"/>
            <w:color w:val="0000ee"/>
            <w:sz w:val="24"/>
            <w:szCs w:val="24"/>
            <w:u w:val="single"/>
            <w:rtl w:val="0"/>
          </w:rPr>
          <w:t xml:space="preserve">https://turnkeycfo.com/hairsalon/</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Tax Services for Salon &amp; Barbershop Owners - Taxstra, </w:t>
      </w:r>
      <w:hyperlink r:id="rId23">
        <w:r w:rsidDel="00000000" w:rsidR="00000000" w:rsidRPr="00000000">
          <w:rPr>
            <w:rFonts w:ascii="Arial" w:cs="Arial" w:eastAsia="Arial" w:hAnsi="Arial"/>
            <w:color w:val="0000ee"/>
            <w:sz w:val="24"/>
            <w:szCs w:val="24"/>
            <w:u w:val="single"/>
            <w:rtl w:val="0"/>
          </w:rPr>
          <w:t xml:space="preserve">https://taxstra.com/salon-owners/</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Booth Rental vs Commission Salon: Which Pays a New Cosmetologist Better?, </w:t>
      </w:r>
      <w:hyperlink r:id="rId24">
        <w:r w:rsidDel="00000000" w:rsidR="00000000" w:rsidRPr="00000000">
          <w:rPr>
            <w:rFonts w:ascii="Arial" w:cs="Arial" w:eastAsia="Arial" w:hAnsi="Arial"/>
            <w:color w:val="0000ee"/>
            <w:sz w:val="24"/>
            <w:szCs w:val="24"/>
            <w:u w:val="single"/>
            <w:rtl w:val="0"/>
          </w:rPr>
          <w:t xml:space="preserve">https://tradecolleges.org/blog/trade-programs/booth-rental-vs-commission-salon-cosmetologist</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Booth Renter by Any Other Name... - Nails Magazine, </w:t>
      </w:r>
      <w:hyperlink r:id="rId25">
        <w:r w:rsidDel="00000000" w:rsidR="00000000" w:rsidRPr="00000000">
          <w:rPr>
            <w:rFonts w:ascii="Arial" w:cs="Arial" w:eastAsia="Arial" w:hAnsi="Arial"/>
            <w:color w:val="0000ee"/>
            <w:sz w:val="24"/>
            <w:szCs w:val="24"/>
            <w:u w:val="single"/>
            <w:rtl w:val="0"/>
          </w:rPr>
          <w:t xml:space="preserve">https://www.nailsmag.com/articles/a-booth-renter-by-any-other-name</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Salon Owner &amp; Booth Renter Responsibilities: Rules, Roles, and Rights - Booksy Biz, </w:t>
      </w:r>
      <w:hyperlink r:id="rId26">
        <w:r w:rsidDel="00000000" w:rsidR="00000000" w:rsidRPr="00000000">
          <w:rPr>
            <w:rFonts w:ascii="Arial" w:cs="Arial" w:eastAsia="Arial" w:hAnsi="Arial"/>
            <w:color w:val="0000ee"/>
            <w:sz w:val="24"/>
            <w:szCs w:val="24"/>
            <w:u w:val="single"/>
            <w:rtl w:val="0"/>
          </w:rPr>
          <w:t xml:space="preserve">https://biz.booksy.com/blog/salon-owner-booth-renter-responsibilities-rules-roles-and-rights</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Salon Booth Rental Software | Manage Renters &amp; Rent - Salonist, </w:t>
      </w:r>
      <w:hyperlink r:id="rId27">
        <w:r w:rsidDel="00000000" w:rsidR="00000000" w:rsidRPr="00000000">
          <w:rPr>
            <w:rFonts w:ascii="Arial" w:cs="Arial" w:eastAsia="Arial" w:hAnsi="Arial"/>
            <w:color w:val="0000ee"/>
            <w:sz w:val="24"/>
            <w:szCs w:val="24"/>
            <w:u w:val="single"/>
            <w:rtl w:val="0"/>
          </w:rPr>
          <w:t xml:space="preserve">https://salonist.io/industries/salon-booth-for-renter</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Designing Your Postgres Database for Multi-tenancy | Crunchy Data Blog, </w:t>
      </w:r>
      <w:hyperlink r:id="rId28">
        <w:r w:rsidDel="00000000" w:rsidR="00000000" w:rsidRPr="00000000">
          <w:rPr>
            <w:rFonts w:ascii="Arial" w:cs="Arial" w:eastAsia="Arial" w:hAnsi="Arial"/>
            <w:color w:val="0000ee"/>
            <w:sz w:val="24"/>
            <w:szCs w:val="24"/>
            <w:u w:val="single"/>
            <w:rtl w:val="0"/>
          </w:rPr>
          <w:t xml:space="preserve">https://www.crunchydata.com/blog/designing-your-postgres-database-for-multi-tenancy</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Stripe Online Rent Payments &amp; Payouts - Tenant Ledger, </w:t>
      </w:r>
      <w:hyperlink r:id="rId29">
        <w:r w:rsidDel="00000000" w:rsidR="00000000" w:rsidRPr="00000000">
          <w:rPr>
            <w:rFonts w:ascii="Arial" w:cs="Arial" w:eastAsia="Arial" w:hAnsi="Arial"/>
            <w:color w:val="0000ee"/>
            <w:sz w:val="24"/>
            <w:szCs w:val="24"/>
            <w:u w:val="single"/>
            <w:rtl w:val="0"/>
          </w:rPr>
          <w:t xml:space="preserve">https://tenantledger.com/features/stripe-payments</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Stripe Connect | Platform and Marketplace Payment Solutions, </w:t>
      </w:r>
      <w:hyperlink r:id="rId30">
        <w:r w:rsidDel="00000000" w:rsidR="00000000" w:rsidRPr="00000000">
          <w:rPr>
            <w:rFonts w:ascii="Arial" w:cs="Arial" w:eastAsia="Arial" w:hAnsi="Arial"/>
            <w:color w:val="0000ee"/>
            <w:sz w:val="24"/>
            <w:szCs w:val="24"/>
            <w:u w:val="single"/>
            <w:rtl w:val="0"/>
          </w:rPr>
          <w:t xml:space="preserve">https://stripe.com/connect</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Connected account types | Stripe Documentation, </w:t>
      </w:r>
      <w:hyperlink r:id="rId31">
        <w:r w:rsidDel="00000000" w:rsidR="00000000" w:rsidRPr="00000000">
          <w:rPr>
            <w:rFonts w:ascii="Arial" w:cs="Arial" w:eastAsia="Arial" w:hAnsi="Arial"/>
            <w:color w:val="0000ee"/>
            <w:sz w:val="24"/>
            <w:szCs w:val="24"/>
            <w:u w:val="single"/>
            <w:rtl w:val="0"/>
          </w:rPr>
          <w:t xml:space="preserve">https://docs.stripe.com/connect/accounts</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Custom connected accounts | Stripe Documentation, </w:t>
      </w:r>
      <w:hyperlink r:id="rId32">
        <w:r w:rsidDel="00000000" w:rsidR="00000000" w:rsidRPr="00000000">
          <w:rPr>
            <w:rFonts w:ascii="Arial" w:cs="Arial" w:eastAsia="Arial" w:hAnsi="Arial"/>
            <w:color w:val="0000ee"/>
            <w:sz w:val="24"/>
            <w:szCs w:val="24"/>
            <w:u w:val="single"/>
            <w:rtl w:val="0"/>
          </w:rPr>
          <w:t xml:space="preserve">https://docs.stripe.com/connect/custom-accounts</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Disputes on Connect platforms - Stripe Documentation, </w:t>
      </w:r>
      <w:hyperlink r:id="rId33">
        <w:r w:rsidDel="00000000" w:rsidR="00000000" w:rsidRPr="00000000">
          <w:rPr>
            <w:rFonts w:ascii="Arial" w:cs="Arial" w:eastAsia="Arial" w:hAnsi="Arial"/>
            <w:color w:val="0000ee"/>
            <w:sz w:val="24"/>
            <w:szCs w:val="24"/>
            <w:u w:val="single"/>
            <w:rtl w:val="0"/>
          </w:rPr>
          <w:t xml:space="preserve">https://docs.stripe.com/connect/disputes</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Handle refunds and disputes - Stripe Documentation, </w:t>
      </w:r>
      <w:hyperlink r:id="rId34">
        <w:r w:rsidDel="00000000" w:rsidR="00000000" w:rsidRPr="00000000">
          <w:rPr>
            <w:rFonts w:ascii="Arial" w:cs="Arial" w:eastAsia="Arial" w:hAnsi="Arial"/>
            <w:color w:val="0000ee"/>
            <w:sz w:val="24"/>
            <w:szCs w:val="24"/>
            <w:u w:val="single"/>
            <w:rtl w:val="0"/>
          </w:rPr>
          <w:t xml:space="preserve">https://docs.stripe.com/connect/saas/tasks/refunds-disputes</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Handle refunds and disputes - Stripe Documentation, </w:t>
      </w:r>
      <w:hyperlink r:id="rId35">
        <w:r w:rsidDel="00000000" w:rsidR="00000000" w:rsidRPr="00000000">
          <w:rPr>
            <w:rFonts w:ascii="Arial" w:cs="Arial" w:eastAsia="Arial" w:hAnsi="Arial"/>
            <w:color w:val="0000ee"/>
            <w:sz w:val="24"/>
            <w:szCs w:val="24"/>
            <w:u w:val="single"/>
            <w:rtl w:val="0"/>
          </w:rPr>
          <w:t xml:space="preserve">https://docs.stripe.com/connect/marketplace/tasks/refunds-disputes</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Dispute fees FAQ - Stripe Support, </w:t>
      </w:r>
      <w:hyperlink r:id="rId36">
        <w:r w:rsidDel="00000000" w:rsidR="00000000" w:rsidRPr="00000000">
          <w:rPr>
            <w:rFonts w:ascii="Arial" w:cs="Arial" w:eastAsia="Arial" w:hAnsi="Arial"/>
            <w:color w:val="0000ee"/>
            <w:sz w:val="24"/>
            <w:szCs w:val="24"/>
            <w:u w:val="single"/>
            <w:rtl w:val="0"/>
          </w:rPr>
          <w:t xml:space="preserve">https://support.stripe.com/questions/dispute-fees-faq</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Disputes : Stripe: Help &amp; Support, </w:t>
      </w:r>
      <w:hyperlink r:id="rId37">
        <w:r w:rsidDel="00000000" w:rsidR="00000000" w:rsidRPr="00000000">
          <w:rPr>
            <w:rFonts w:ascii="Arial" w:cs="Arial" w:eastAsia="Arial" w:hAnsi="Arial"/>
            <w:color w:val="0000ee"/>
            <w:sz w:val="24"/>
            <w:szCs w:val="24"/>
            <w:u w:val="single"/>
            <w:rtl w:val="0"/>
          </w:rPr>
          <w:t xml:space="preserve">https://support.stripe.com/topics/disputes</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Connect webhooks - Stripe Documentation, </w:t>
      </w:r>
      <w:hyperlink r:id="rId38">
        <w:r w:rsidDel="00000000" w:rsidR="00000000" w:rsidRPr="00000000">
          <w:rPr>
            <w:rFonts w:ascii="Arial" w:cs="Arial" w:eastAsia="Arial" w:hAnsi="Arial"/>
            <w:color w:val="0000ee"/>
            <w:sz w:val="24"/>
            <w:szCs w:val="24"/>
            <w:u w:val="single"/>
            <w:rtl w:val="0"/>
          </w:rPr>
          <w:t xml:space="preserve">https://docs.stripe.com/connect/webhooks</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Handle Payment Disputes | Stripe, </w:t>
      </w:r>
      <w:hyperlink r:id="rId39">
        <w:r w:rsidDel="00000000" w:rsidR="00000000" w:rsidRPr="00000000">
          <w:rPr>
            <w:rFonts w:ascii="Arial" w:cs="Arial" w:eastAsia="Arial" w:hAnsi="Arial"/>
            <w:color w:val="0000ee"/>
            <w:sz w:val="24"/>
            <w:szCs w:val="24"/>
            <w:u w:val="single"/>
            <w:rtl w:val="0"/>
          </w:rPr>
          <w:t xml:space="preserve">https://stripe.com/guides/introduction-to-payment-disputes</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architect multi-tenant SaaS on Postgres - ClickHouse, </w:t>
      </w:r>
      <w:hyperlink r:id="rId40">
        <w:r w:rsidDel="00000000" w:rsidR="00000000" w:rsidRPr="00000000">
          <w:rPr>
            <w:rFonts w:ascii="Arial" w:cs="Arial" w:eastAsia="Arial" w:hAnsi="Arial"/>
            <w:color w:val="0000ee"/>
            <w:sz w:val="24"/>
            <w:szCs w:val="24"/>
            <w:u w:val="single"/>
            <w:rtl w:val="0"/>
          </w:rPr>
          <w:t xml:space="preserve">https://clickhouse.com/resources/engineering/multi-tenant-saas-postgres-architecture</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PostgreSQL CDC Multi-Tenant Setups Done Right - Streamkap, </w:t>
      </w:r>
      <w:hyperlink r:id="rId41">
        <w:r w:rsidDel="00000000" w:rsidR="00000000" w:rsidRPr="00000000">
          <w:rPr>
            <w:rFonts w:ascii="Arial" w:cs="Arial" w:eastAsia="Arial" w:hAnsi="Arial"/>
            <w:color w:val="0000ee"/>
            <w:sz w:val="24"/>
            <w:szCs w:val="24"/>
            <w:u w:val="single"/>
            <w:rtl w:val="0"/>
          </w:rPr>
          <w:t xml:space="preserve">https://streamkap.com/resources-and-guides/postgresql-cdc-multi-tenant</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Designing Your SaaS Database for Scale with PostgreSQL - Microsoft Learn, </w:t>
      </w:r>
      <w:hyperlink r:id="rId42">
        <w:r w:rsidDel="00000000" w:rsidR="00000000" w:rsidRPr="00000000">
          <w:rPr>
            <w:rFonts w:ascii="Arial" w:cs="Arial" w:eastAsia="Arial" w:hAnsi="Arial"/>
            <w:color w:val="0000ee"/>
            <w:sz w:val="24"/>
            <w:szCs w:val="24"/>
            <w:u w:val="single"/>
            <w:rtl w:val="0"/>
          </w:rPr>
          <w:t xml:space="preserve">https://learn.microsoft.com/en-us/postgresql/citus/designing-saas?view=citus-14</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PostgreSQL's schemas for multi-tenant applications - Stack Overflow, </w:t>
      </w:r>
      <w:hyperlink r:id="rId43">
        <w:r w:rsidDel="00000000" w:rsidR="00000000" w:rsidRPr="00000000">
          <w:rPr>
            <w:rFonts w:ascii="Arial" w:cs="Arial" w:eastAsia="Arial" w:hAnsi="Arial"/>
            <w:color w:val="0000ee"/>
            <w:sz w:val="24"/>
            <w:szCs w:val="24"/>
            <w:u w:val="single"/>
            <w:rtl w:val="0"/>
          </w:rPr>
          <w:t xml:space="preserve">https://stackoverflow.com/questions/44524364/postgresqls-schemas-for-multi-tenant-applications</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Offline-First React Native Apps: Why WatermelonDB Is the Right Choice - Medium, </w:t>
      </w:r>
      <w:hyperlink r:id="rId44">
        <w:r w:rsidDel="00000000" w:rsidR="00000000" w:rsidRPr="00000000">
          <w:rPr>
            <w:rFonts w:ascii="Arial" w:cs="Arial" w:eastAsia="Arial" w:hAnsi="Arial"/>
            <w:color w:val="0000ee"/>
            <w:sz w:val="24"/>
            <w:szCs w:val="24"/>
            <w:u w:val="single"/>
            <w:rtl w:val="0"/>
          </w:rPr>
          <w:t xml:space="preserve">https://medium.com/@pelumiogundipe905/building-offline-first-react-native-apps-why-watermelondb-is-the-right-choice-96e28e87687f</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Expo SQLite vs WatermelonDB vs Realm 2026 — PkgPulse Guides, </w:t>
      </w:r>
      <w:hyperlink r:id="rId45">
        <w:r w:rsidDel="00000000" w:rsidR="00000000" w:rsidRPr="00000000">
          <w:rPr>
            <w:rFonts w:ascii="Arial" w:cs="Arial" w:eastAsia="Arial" w:hAnsi="Arial"/>
            <w:color w:val="0000ee"/>
            <w:sz w:val="24"/>
            <w:szCs w:val="24"/>
            <w:u w:val="single"/>
            <w:rtl w:val="0"/>
          </w:rPr>
          <w:t xml:space="preserve">https://www.pkgpulse.com/guides/expo-sqlite-vs-watermelondb-vs-realm-react-native-local-2026</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WatermelonDB: Check out the README, </w:t>
      </w:r>
      <w:hyperlink r:id="rId46">
        <w:r w:rsidDel="00000000" w:rsidR="00000000" w:rsidRPr="00000000">
          <w:rPr>
            <w:rFonts w:ascii="Arial" w:cs="Arial" w:eastAsia="Arial" w:hAnsi="Arial"/>
            <w:color w:val="0000ee"/>
            <w:sz w:val="24"/>
            <w:szCs w:val="24"/>
            <w:u w:val="single"/>
            <w:rtl w:val="0"/>
          </w:rPr>
          <w:t xml:space="preserve">https://watermelondb.dev/docs</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Offline-first React Native Apps with Expo, WatermelonDB, and Supabase, </w:t>
      </w:r>
      <w:hyperlink r:id="rId47">
        <w:r w:rsidDel="00000000" w:rsidR="00000000" w:rsidRPr="00000000">
          <w:rPr>
            <w:rFonts w:ascii="Arial" w:cs="Arial" w:eastAsia="Arial" w:hAnsi="Arial"/>
            <w:color w:val="0000ee"/>
            <w:sz w:val="24"/>
            <w:szCs w:val="24"/>
            <w:u w:val="single"/>
            <w:rtl w:val="0"/>
          </w:rPr>
          <w:t xml:space="preserve">https://supabase.com/blog/react-native-offline-first-watermelon-db</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can I keep track of retail and backbar (use) inventory at my salon with Square?, </w:t>
      </w:r>
      <w:hyperlink r:id="rId48">
        <w:r w:rsidDel="00000000" w:rsidR="00000000" w:rsidRPr="00000000">
          <w:rPr>
            <w:rFonts w:ascii="Arial" w:cs="Arial" w:eastAsia="Arial" w:hAnsi="Arial"/>
            <w:color w:val="0000ee"/>
            <w:sz w:val="24"/>
            <w:szCs w:val="24"/>
            <w:u w:val="single"/>
            <w:rtl w:val="0"/>
          </w:rPr>
          <w:t xml:space="preserve">https://community.squareup.com/t5/Questions-How-To/How-can-I-keep-track-of-retail-and-backbar-use-inventory-at-my/m-p/324333</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salon inventory management software (2026): pricing, pros &amp; cons | Suplery, </w:t>
      </w:r>
      <w:hyperlink r:id="rId49">
        <w:r w:rsidDel="00000000" w:rsidR="00000000" w:rsidRPr="00000000">
          <w:rPr>
            <w:rFonts w:ascii="Arial" w:cs="Arial" w:eastAsia="Arial" w:hAnsi="Arial"/>
            <w:color w:val="0000ee"/>
            <w:sz w:val="24"/>
            <w:szCs w:val="24"/>
            <w:u w:val="single"/>
            <w:rtl w:val="0"/>
          </w:rPr>
          <w:t xml:space="preserve">https://suplery.com/blog/best-salon-inventory-management-software/</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Vish Colour Management Software Integration - Kitomba, </w:t>
      </w:r>
      <w:hyperlink r:id="rId50">
        <w:r w:rsidDel="00000000" w:rsidR="00000000" w:rsidRPr="00000000">
          <w:rPr>
            <w:rFonts w:ascii="Arial" w:cs="Arial" w:eastAsia="Arial" w:hAnsi="Arial"/>
            <w:color w:val="0000ee"/>
            <w:sz w:val="24"/>
            <w:szCs w:val="24"/>
            <w:u w:val="single"/>
            <w:rtl w:val="0"/>
          </w:rPr>
          <w:t xml:space="preserve">https://www.kitomba.com/integrations/vish/</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Feature Comparison | Color Management Tool - VISH, </w:t>
      </w:r>
      <w:hyperlink r:id="rId51">
        <w:r w:rsidDel="00000000" w:rsidR="00000000" w:rsidRPr="00000000">
          <w:rPr>
            <w:rFonts w:ascii="Arial" w:cs="Arial" w:eastAsia="Arial" w:hAnsi="Arial"/>
            <w:color w:val="0000ee"/>
            <w:sz w:val="24"/>
            <w:szCs w:val="24"/>
            <w:u w:val="single"/>
            <w:rtl w:val="0"/>
          </w:rPr>
          <w:t xml:space="preserve">https://getvish.com/feature-comparison/</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Vish Hair Color Management Software | Reduce Salon Waste, </w:t>
      </w:r>
      <w:hyperlink r:id="rId52">
        <w:r w:rsidDel="00000000" w:rsidR="00000000" w:rsidRPr="00000000">
          <w:rPr>
            <w:rFonts w:ascii="Arial" w:cs="Arial" w:eastAsia="Arial" w:hAnsi="Arial"/>
            <w:color w:val="0000ee"/>
            <w:sz w:val="24"/>
            <w:szCs w:val="24"/>
            <w:u w:val="single"/>
            <w:rtl w:val="0"/>
          </w:rPr>
          <w:t xml:space="preserve">https://getvish.com/</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Customer Churn Statistics for Local Service Businesses (2026) | Winback Engine, </w:t>
      </w:r>
      <w:hyperlink r:id="rId53">
        <w:r w:rsidDel="00000000" w:rsidR="00000000" w:rsidRPr="00000000">
          <w:rPr>
            <w:rFonts w:ascii="Arial" w:cs="Arial" w:eastAsia="Arial" w:hAnsi="Arial"/>
            <w:color w:val="0000ee"/>
            <w:sz w:val="24"/>
            <w:szCs w:val="24"/>
            <w:u w:val="single"/>
            <w:rtl w:val="0"/>
          </w:rPr>
          <w:t xml:space="preserve">https://winbackengine.com/customer-churn-statistics/</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Proven Customer Retention Strategies for Salons You're Not Using Yet, </w:t>
      </w:r>
      <w:hyperlink r:id="rId54">
        <w:r w:rsidDel="00000000" w:rsidR="00000000" w:rsidRPr="00000000">
          <w:rPr>
            <w:rFonts w:ascii="Arial" w:cs="Arial" w:eastAsia="Arial" w:hAnsi="Arial"/>
            <w:color w:val="0000ee"/>
            <w:sz w:val="24"/>
            <w:szCs w:val="24"/>
            <w:u w:val="single"/>
            <w:rtl w:val="0"/>
          </w:rPr>
          <w:t xml:space="preserve">https://blog.miosalon.com/salon-customer-retention-strategies-youre-not-using-yet/</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Calculating Your Client Retention Rate in the Spa and Salon Industry - Meevo, </w:t>
      </w:r>
      <w:hyperlink r:id="rId55">
        <w:r w:rsidDel="00000000" w:rsidR="00000000" w:rsidRPr="00000000">
          <w:rPr>
            <w:rFonts w:ascii="Arial" w:cs="Arial" w:eastAsia="Arial" w:hAnsi="Arial"/>
            <w:color w:val="0000ee"/>
            <w:sz w:val="24"/>
            <w:szCs w:val="24"/>
            <w:u w:val="single"/>
            <w:rtl w:val="0"/>
          </w:rPr>
          <w:t xml:space="preserve">https://www.meevo.com/blog/calculating-client-retention-rate/</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Experience the Blowdry Membership at Trending Salon &amp; Spa, </w:t>
      </w:r>
      <w:hyperlink r:id="rId56">
        <w:r w:rsidDel="00000000" w:rsidR="00000000" w:rsidRPr="00000000">
          <w:rPr>
            <w:rFonts w:ascii="Arial" w:cs="Arial" w:eastAsia="Arial" w:hAnsi="Arial"/>
            <w:color w:val="0000ee"/>
            <w:sz w:val="24"/>
            <w:szCs w:val="24"/>
            <w:u w:val="single"/>
            <w:rtl w:val="0"/>
          </w:rPr>
          <w:t xml:space="preserve">https://trendingbythetracks.com/blowdry-membership</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Luxury Blow Dry Monthly Membership - Salon Products, </w:t>
      </w:r>
      <w:hyperlink r:id="rId57">
        <w:r w:rsidDel="00000000" w:rsidR="00000000" w:rsidRPr="00000000">
          <w:rPr>
            <w:rFonts w:ascii="Arial" w:cs="Arial" w:eastAsia="Arial" w:hAnsi="Arial"/>
            <w:color w:val="0000ee"/>
            <w:sz w:val="24"/>
            <w:szCs w:val="24"/>
            <w:u w:val="single"/>
            <w:rtl w:val="0"/>
          </w:rPr>
          <w:t xml:space="preserve">https://salonproducts.com/products/blow-dry-monthly-membership</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Hair Salons (Hairstylist) Membership &amp; Subscription Mobile App - Subport, </w:t>
      </w:r>
      <w:hyperlink r:id="rId58">
        <w:r w:rsidDel="00000000" w:rsidR="00000000" w:rsidRPr="00000000">
          <w:rPr>
            <w:rFonts w:ascii="Arial" w:cs="Arial" w:eastAsia="Arial" w:hAnsi="Arial"/>
            <w:color w:val="0000ee"/>
            <w:sz w:val="24"/>
            <w:szCs w:val="24"/>
            <w:u w:val="single"/>
            <w:rtl w:val="0"/>
          </w:rPr>
          <w:t xml:space="preserve">https://subport.us/blog/hair-salons-hairstylist-membership-subscription-mobile-app</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PassKit - The Operating System for Mobile Wallet Engagement, </w:t>
      </w:r>
      <w:hyperlink r:id="rId59">
        <w:r w:rsidDel="00000000" w:rsidR="00000000" w:rsidRPr="00000000">
          <w:rPr>
            <w:rFonts w:ascii="Arial" w:cs="Arial" w:eastAsia="Arial" w:hAnsi="Arial"/>
            <w:color w:val="0000ee"/>
            <w:sz w:val="24"/>
            <w:szCs w:val="24"/>
            <w:u w:val="single"/>
            <w:rtl w:val="0"/>
          </w:rPr>
          <w:t xml:space="preserve">https://passkit.com/</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Design Membership Cards for Apple and Google Wallet in 5 Minutes - - PassKit, </w:t>
      </w:r>
      <w:hyperlink r:id="rId60">
        <w:r w:rsidDel="00000000" w:rsidR="00000000" w:rsidRPr="00000000">
          <w:rPr>
            <w:rFonts w:ascii="Arial" w:cs="Arial" w:eastAsia="Arial" w:hAnsi="Arial"/>
            <w:color w:val="0000ee"/>
            <w:sz w:val="24"/>
            <w:szCs w:val="24"/>
            <w:u w:val="single"/>
            <w:rtl w:val="0"/>
          </w:rPr>
          <w:t xml:space="preserve">https://passkit.com/blog/design-membership-cards/</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TCPA text messages: Rules and regulations guide for 2026 - ActiveProspect, </w:t>
      </w:r>
      <w:hyperlink r:id="rId61">
        <w:r w:rsidDel="00000000" w:rsidR="00000000" w:rsidRPr="00000000">
          <w:rPr>
            <w:rFonts w:ascii="Arial" w:cs="Arial" w:eastAsia="Arial" w:hAnsi="Arial"/>
            <w:color w:val="0000ee"/>
            <w:sz w:val="24"/>
            <w:szCs w:val="24"/>
            <w:u w:val="single"/>
            <w:rtl w:val="0"/>
          </w:rPr>
          <w:t xml:space="preserve">https://activeprospect.com/blog/tcpa-text-messages/</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TCPA Texting Rules for Service Businesses (2026) - SalesCaptain | Blogs, </w:t>
      </w:r>
      <w:hyperlink r:id="rId62">
        <w:r w:rsidDel="00000000" w:rsidR="00000000" w:rsidRPr="00000000">
          <w:rPr>
            <w:rFonts w:ascii="Arial" w:cs="Arial" w:eastAsia="Arial" w:hAnsi="Arial"/>
            <w:color w:val="0000ee"/>
            <w:sz w:val="24"/>
            <w:szCs w:val="24"/>
            <w:u w:val="single"/>
            <w:rtl w:val="0"/>
          </w:rPr>
          <w:t xml:space="preserve">https://blog.salescaptain.com/tcpa-texting-rules-for-service-businesses-2026/</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TCPA Compliance for SMS in 2026: What Changed and What to Do - Signalmash, </w:t>
      </w:r>
      <w:hyperlink r:id="rId63">
        <w:r w:rsidDel="00000000" w:rsidR="00000000" w:rsidRPr="00000000">
          <w:rPr>
            <w:rFonts w:ascii="Arial" w:cs="Arial" w:eastAsia="Arial" w:hAnsi="Arial"/>
            <w:color w:val="0000ee"/>
            <w:sz w:val="24"/>
            <w:szCs w:val="24"/>
            <w:u w:val="single"/>
            <w:rtl w:val="0"/>
          </w:rPr>
          <w:t xml:space="preserve">https://signalmash.com/post/tcpa-compliance-sms-2026</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TCPA Compliance for SMS Marketing in the US: A Complete Guide [With Examples], </w:t>
      </w:r>
      <w:hyperlink r:id="rId64">
        <w:r w:rsidDel="00000000" w:rsidR="00000000" w:rsidRPr="00000000">
          <w:rPr>
            <w:rFonts w:ascii="Arial" w:cs="Arial" w:eastAsia="Arial" w:hAnsi="Arial"/>
            <w:color w:val="0000ee"/>
            <w:sz w:val="24"/>
            <w:szCs w:val="24"/>
            <w:u w:val="single"/>
            <w:rtl w:val="0"/>
          </w:rPr>
          <w:t xml:space="preserve">https://makeforms.io/blog/tcpa-compliance-for-sms-marketing-in-us</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Patch Test Consent Form - Blank Fillable Template | Fill Out, Print &amp; Download PDF | pdfFiller, </w:t>
      </w:r>
      <w:hyperlink r:id="rId65">
        <w:r w:rsidDel="00000000" w:rsidR="00000000" w:rsidRPr="00000000">
          <w:rPr>
            <w:rFonts w:ascii="Arial" w:cs="Arial" w:eastAsia="Arial" w:hAnsi="Arial"/>
            <w:color w:val="0000ee"/>
            <w:sz w:val="24"/>
            <w:szCs w:val="24"/>
            <w:u w:val="single"/>
            <w:rtl w:val="0"/>
          </w:rPr>
          <w:t xml:space="preserve">https://patch-test-form.pdffiller.com/</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Esthetician Client Intake Form Template - Jotform, </w:t>
      </w:r>
      <w:hyperlink r:id="rId66">
        <w:r w:rsidDel="00000000" w:rsidR="00000000" w:rsidRPr="00000000">
          <w:rPr>
            <w:rFonts w:ascii="Arial" w:cs="Arial" w:eastAsia="Arial" w:hAnsi="Arial"/>
            <w:color w:val="0000ee"/>
            <w:sz w:val="24"/>
            <w:szCs w:val="24"/>
            <w:u w:val="single"/>
            <w:rtl w:val="0"/>
          </w:rPr>
          <w:t xml:space="preserve">https://www.jotform.com/form-templates/esthetician-client-intake-form</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Faces - Patch Test Consent Form Template | Digital Booking &amp; Consent, </w:t>
      </w:r>
      <w:hyperlink r:id="rId67">
        <w:r w:rsidDel="00000000" w:rsidR="00000000" w:rsidRPr="00000000">
          <w:rPr>
            <w:rFonts w:ascii="Arial" w:cs="Arial" w:eastAsia="Arial" w:hAnsi="Arial"/>
            <w:color w:val="0000ee"/>
            <w:sz w:val="24"/>
            <w:szCs w:val="24"/>
            <w:u w:val="single"/>
            <w:rtl w:val="0"/>
          </w:rPr>
          <w:t xml:space="preserve">https://facesconsent.com/consent-forms/patch-test</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Patch Test Form – Fill Out and Use This PDF - FormsPal, </w:t>
      </w:r>
      <w:hyperlink r:id="rId68">
        <w:r w:rsidDel="00000000" w:rsidR="00000000" w:rsidRPr="00000000">
          <w:rPr>
            <w:rFonts w:ascii="Arial" w:cs="Arial" w:eastAsia="Arial" w:hAnsi="Arial"/>
            <w:color w:val="0000ee"/>
            <w:sz w:val="24"/>
            <w:szCs w:val="24"/>
            <w:u w:val="single"/>
            <w:rtl w:val="0"/>
          </w:rPr>
          <w:t xml:space="preserve">https://formspal.com/pdf-forms/other/patch-test-form/</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Offering account deletion in your app - Support - Apple Developer, </w:t>
      </w:r>
      <w:hyperlink r:id="rId69">
        <w:r w:rsidDel="00000000" w:rsidR="00000000" w:rsidRPr="00000000">
          <w:rPr>
            <w:rFonts w:ascii="Arial" w:cs="Arial" w:eastAsia="Arial" w:hAnsi="Arial"/>
            <w:color w:val="0000ee"/>
            <w:sz w:val="24"/>
            <w:szCs w:val="24"/>
            <w:u w:val="single"/>
            <w:rtl w:val="0"/>
          </w:rPr>
          <w:t xml:space="preserve">https://developer.apple.com/support/offering-account-deletion-in-your-app/</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Deadline for in-app purchase and account deletion requirements extended - Latest News, </w:t>
      </w:r>
      <w:hyperlink r:id="rId70">
        <w:r w:rsidDel="00000000" w:rsidR="00000000" w:rsidRPr="00000000">
          <w:rPr>
            <w:rFonts w:ascii="Arial" w:cs="Arial" w:eastAsia="Arial" w:hAnsi="Arial"/>
            <w:color w:val="0000ee"/>
            <w:sz w:val="24"/>
            <w:szCs w:val="24"/>
            <w:u w:val="single"/>
            <w:rtl w:val="0"/>
          </w:rPr>
          <w:t xml:space="preserve">https://developer.apple.com/news/?id=i71db0mv</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Account deletion within apps required starting January 31 - Latest News - Apple Developer, </w:t>
      </w:r>
      <w:hyperlink r:id="rId71">
        <w:r w:rsidDel="00000000" w:rsidR="00000000" w:rsidRPr="00000000">
          <w:rPr>
            <w:rFonts w:ascii="Arial" w:cs="Arial" w:eastAsia="Arial" w:hAnsi="Arial"/>
            <w:color w:val="0000ee"/>
            <w:sz w:val="24"/>
            <w:szCs w:val="24"/>
            <w:u w:val="single"/>
            <w:rtl w:val="0"/>
          </w:rPr>
          <w:t xml:space="preserve">https://developer.apple.com/news/?id=mdkbobfo</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Account deletion requirement starts June 30 - Latest News - Apple Developer, </w:t>
      </w:r>
      <w:hyperlink r:id="rId72">
        <w:r w:rsidDel="00000000" w:rsidR="00000000" w:rsidRPr="00000000">
          <w:rPr>
            <w:rFonts w:ascii="Arial" w:cs="Arial" w:eastAsia="Arial" w:hAnsi="Arial"/>
            <w:color w:val="0000ee"/>
            <w:sz w:val="24"/>
            <w:szCs w:val="24"/>
            <w:u w:val="single"/>
            <w:rtl w:val="0"/>
          </w:rPr>
          <w:t xml:space="preserve">https://developer.apple.com/news/?id=12m75xbj</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Navigating Apple's In-App Account Deletion Requirement: A Guide - Transcend.io, </w:t>
      </w:r>
      <w:hyperlink r:id="rId73">
        <w:r w:rsidDel="00000000" w:rsidR="00000000" w:rsidRPr="00000000">
          <w:rPr>
            <w:rFonts w:ascii="Arial" w:cs="Arial" w:eastAsia="Arial" w:hAnsi="Arial"/>
            <w:color w:val="0000ee"/>
            <w:sz w:val="24"/>
            <w:szCs w:val="24"/>
            <w:u w:val="single"/>
            <w:rtl w:val="0"/>
          </w:rPr>
          <w:t xml:space="preserve">https://transcend.io/blog/apple-requirement-app-account-deletion</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Offering account deletion in your app : r/iOSDevelopment - Reddit, </w:t>
      </w:r>
      <w:hyperlink r:id="rId74">
        <w:r w:rsidDel="00000000" w:rsidR="00000000" w:rsidRPr="00000000">
          <w:rPr>
            <w:rFonts w:ascii="Arial" w:cs="Arial" w:eastAsia="Arial" w:hAnsi="Arial"/>
            <w:color w:val="0000ee"/>
            <w:sz w:val="24"/>
            <w:szCs w:val="24"/>
            <w:u w:val="single"/>
            <w:rtl w:val="0"/>
          </w:rPr>
          <w:t xml:space="preserve">https://www.reddit.com/r/iOSDevelopment/comments/1sszvhc/offering_account_deletion_in_your_app/</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In-app purchase | Apple Developer Documentation, </w:t>
      </w:r>
      <w:hyperlink r:id="rId75">
        <w:r w:rsidDel="00000000" w:rsidR="00000000" w:rsidRPr="00000000">
          <w:rPr>
            <w:rFonts w:ascii="Arial" w:cs="Arial" w:eastAsia="Arial" w:hAnsi="Arial"/>
            <w:color w:val="0000ee"/>
            <w:sz w:val="24"/>
            <w:szCs w:val="24"/>
            <w:u w:val="single"/>
            <w:rtl w:val="0"/>
          </w:rPr>
          <w:t xml:space="preserve">https://developer.apple.com/design/human-interface-guidelines/in-app-purchase</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Beauty Salon ERD Design | EdrawMax Templates, </w:t>
      </w:r>
      <w:hyperlink r:id="rId76">
        <w:r w:rsidDel="00000000" w:rsidR="00000000" w:rsidRPr="00000000">
          <w:rPr>
            <w:rFonts w:ascii="Arial" w:cs="Arial" w:eastAsia="Arial" w:hAnsi="Arial"/>
            <w:color w:val="0000ee"/>
            <w:sz w:val="24"/>
            <w:szCs w:val="24"/>
            <w:u w:val="single"/>
            <w:rtl w:val="0"/>
          </w:rPr>
          <w:t xml:space="preserve">https://www.edrawmax.com/templates/beauty-salon-erd-design-1031146/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lickhouse.com/resources/engineering/multi-tenant-saas-postgres-architecture" TargetMode="External"/><Relationship Id="rId42" Type="http://schemas.openxmlformats.org/officeDocument/2006/relationships/hyperlink" Target="https://learn.microsoft.com/en-us/postgresql/citus/designing-saas?view=citus-14" TargetMode="External"/><Relationship Id="rId41" Type="http://schemas.openxmlformats.org/officeDocument/2006/relationships/hyperlink" Target="https://streamkap.com/resources-and-guides/postgresql-cdc-multi-tenant" TargetMode="External"/><Relationship Id="rId44" Type="http://schemas.openxmlformats.org/officeDocument/2006/relationships/hyperlink" Target="https://medium.com/@pelumiogundipe905/building-offline-first-react-native-apps-why-watermelondb-is-the-right-choice-96e28e87687f" TargetMode="External"/><Relationship Id="rId43" Type="http://schemas.openxmlformats.org/officeDocument/2006/relationships/hyperlink" Target="https://stackoverflow.com/questions/44524364/postgresqls-schemas-for-multi-tenant-applications" TargetMode="External"/><Relationship Id="rId46" Type="http://schemas.openxmlformats.org/officeDocument/2006/relationships/hyperlink" Target="https://watermelondb.dev/docs" TargetMode="External"/><Relationship Id="rId45" Type="http://schemas.openxmlformats.org/officeDocument/2006/relationships/hyperlink" Target="https://www.pkgpulse.com/guides/expo-sqlite-vs-watermelondb-vs-realm-react-native-local-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ppypie.com/salon-app-builder" TargetMode="External"/><Relationship Id="rId48" Type="http://schemas.openxmlformats.org/officeDocument/2006/relationships/hyperlink" Target="https://community.squareup.com/t5/Questions-How-To/How-can-I-keep-track-of-retail-and-backbar-use-inventory-at-my/m-p/324333" TargetMode="External"/><Relationship Id="rId47" Type="http://schemas.openxmlformats.org/officeDocument/2006/relationships/hyperlink" Target="https://supabase.com/blog/react-native-offline-first-watermelon-db" TargetMode="External"/><Relationship Id="rId49" Type="http://schemas.openxmlformats.org/officeDocument/2006/relationships/hyperlink" Target="https://suplery.com/blog/best-salon-inventory-management-software/" TargetMode="External"/><Relationship Id="rId5" Type="http://schemas.openxmlformats.org/officeDocument/2006/relationships/styles" Target="styles.xml"/><Relationship Id="rId6" Type="http://schemas.openxmlformats.org/officeDocument/2006/relationships/hyperlink" Target="https://byzfunder.com/resources/salons/best-salon-booking-software" TargetMode="External"/><Relationship Id="rId7" Type="http://schemas.openxmlformats.org/officeDocument/2006/relationships/hyperlink" Target="https://glossgenius.com/blog/fresha-vs-vagaro" TargetMode="External"/><Relationship Id="rId8" Type="http://schemas.openxmlformats.org/officeDocument/2006/relationships/hyperlink" Target="https://www.thelocalgem.com/blog/square-vs-vagaro-vs-glossgenius-vs-fresha-2026-salon-pick" TargetMode="External"/><Relationship Id="rId73" Type="http://schemas.openxmlformats.org/officeDocument/2006/relationships/hyperlink" Target="https://transcend.io/blog/apple-requirement-app-account-deletion" TargetMode="External"/><Relationship Id="rId72" Type="http://schemas.openxmlformats.org/officeDocument/2006/relationships/hyperlink" Target="https://developer.apple.com/news/?id=12m75xbj" TargetMode="External"/><Relationship Id="rId31" Type="http://schemas.openxmlformats.org/officeDocument/2006/relationships/hyperlink" Target="https://docs.stripe.com/connect/accounts" TargetMode="External"/><Relationship Id="rId75" Type="http://schemas.openxmlformats.org/officeDocument/2006/relationships/hyperlink" Target="https://developer.apple.com/design/human-interface-guidelines/in-app-purchase" TargetMode="External"/><Relationship Id="rId30" Type="http://schemas.openxmlformats.org/officeDocument/2006/relationships/hyperlink" Target="https://stripe.com/connect" TargetMode="External"/><Relationship Id="rId74" Type="http://schemas.openxmlformats.org/officeDocument/2006/relationships/hyperlink" Target="https://www.reddit.com/r/iOSDevelopment/comments/1sszvhc/offering_account_deletion_in_your_app/" TargetMode="External"/><Relationship Id="rId33" Type="http://schemas.openxmlformats.org/officeDocument/2006/relationships/hyperlink" Target="https://docs.stripe.com/connect/disputes" TargetMode="External"/><Relationship Id="rId32" Type="http://schemas.openxmlformats.org/officeDocument/2006/relationships/hyperlink" Target="https://docs.stripe.com/connect/custom-accounts" TargetMode="External"/><Relationship Id="rId76" Type="http://schemas.openxmlformats.org/officeDocument/2006/relationships/hyperlink" Target="https://www.edrawmax.com/templates/beauty-salon-erd-design-1031146/" TargetMode="External"/><Relationship Id="rId35" Type="http://schemas.openxmlformats.org/officeDocument/2006/relationships/hyperlink" Target="https://docs.stripe.com/connect/marketplace/tasks/refunds-disputes" TargetMode="External"/><Relationship Id="rId34" Type="http://schemas.openxmlformats.org/officeDocument/2006/relationships/hyperlink" Target="https://docs.stripe.com/connect/saas/tasks/refunds-disputes" TargetMode="External"/><Relationship Id="rId71" Type="http://schemas.openxmlformats.org/officeDocument/2006/relationships/hyperlink" Target="https://developer.apple.com/news/?id=mdkbobfo" TargetMode="External"/><Relationship Id="rId70" Type="http://schemas.openxmlformats.org/officeDocument/2006/relationships/hyperlink" Target="https://developer.apple.com/news/?id=i71db0mv" TargetMode="External"/><Relationship Id="rId37" Type="http://schemas.openxmlformats.org/officeDocument/2006/relationships/hyperlink" Target="https://support.stripe.com/topics/disputes" TargetMode="External"/><Relationship Id="rId36" Type="http://schemas.openxmlformats.org/officeDocument/2006/relationships/hyperlink" Target="https://support.stripe.com/questions/dispute-fees-faq" TargetMode="External"/><Relationship Id="rId39" Type="http://schemas.openxmlformats.org/officeDocument/2006/relationships/hyperlink" Target="https://stripe.com/guides/introduction-to-payment-disputes" TargetMode="External"/><Relationship Id="rId38" Type="http://schemas.openxmlformats.org/officeDocument/2006/relationships/hyperlink" Target="https://docs.stripe.com/connect/webhooks" TargetMode="External"/><Relationship Id="rId62" Type="http://schemas.openxmlformats.org/officeDocument/2006/relationships/hyperlink" Target="https://blog.salescaptain.com/tcpa-texting-rules-for-service-businesses-2026/" TargetMode="External"/><Relationship Id="rId61" Type="http://schemas.openxmlformats.org/officeDocument/2006/relationships/hyperlink" Target="https://activeprospect.com/blog/tcpa-text-messages/" TargetMode="External"/><Relationship Id="rId20" Type="http://schemas.openxmlformats.org/officeDocument/2006/relationships/hyperlink" Target="https://www.eztexting.com/use-cases/hospitality/salons-spas" TargetMode="External"/><Relationship Id="rId64" Type="http://schemas.openxmlformats.org/officeDocument/2006/relationships/hyperlink" Target="https://makeforms.io/blog/tcpa-compliance-for-sms-marketing-in-us" TargetMode="External"/><Relationship Id="rId63" Type="http://schemas.openxmlformats.org/officeDocument/2006/relationships/hyperlink" Target="https://signalmash.com/post/tcpa-compliance-sms-2026" TargetMode="External"/><Relationship Id="rId22" Type="http://schemas.openxmlformats.org/officeDocument/2006/relationships/hyperlink" Target="https://turnkeycfo.com/hairsalon/" TargetMode="External"/><Relationship Id="rId66" Type="http://schemas.openxmlformats.org/officeDocument/2006/relationships/hyperlink" Target="https://www.jotform.com/form-templates/esthetician-client-intake-form" TargetMode="External"/><Relationship Id="rId21" Type="http://schemas.openxmlformats.org/officeDocument/2006/relationships/hyperlink" Target="https://unclekam.com/tax-strategy-blog/what-can-a-booth-renter-write-off-in-2026-complete-tax-deduction-guide-for-salon-beauty-professionals/" TargetMode="External"/><Relationship Id="rId65" Type="http://schemas.openxmlformats.org/officeDocument/2006/relationships/hyperlink" Target="https://patch-test-form.pdffiller.com/" TargetMode="External"/><Relationship Id="rId24" Type="http://schemas.openxmlformats.org/officeDocument/2006/relationships/hyperlink" Target="https://tradecolleges.org/blog/trade-programs/booth-rental-vs-commission-salon-cosmetologist" TargetMode="External"/><Relationship Id="rId68" Type="http://schemas.openxmlformats.org/officeDocument/2006/relationships/hyperlink" Target="https://formspal.com/pdf-forms/other/patch-test-form/" TargetMode="External"/><Relationship Id="rId23" Type="http://schemas.openxmlformats.org/officeDocument/2006/relationships/hyperlink" Target="https://taxstra.com/salon-owners/" TargetMode="External"/><Relationship Id="rId67" Type="http://schemas.openxmlformats.org/officeDocument/2006/relationships/hyperlink" Target="https://facesconsent.com/consent-forms/patch-test" TargetMode="External"/><Relationship Id="rId60" Type="http://schemas.openxmlformats.org/officeDocument/2006/relationships/hyperlink" Target="https://passkit.com/blog/design-membership-cards/" TargetMode="External"/><Relationship Id="rId26" Type="http://schemas.openxmlformats.org/officeDocument/2006/relationships/hyperlink" Target="https://biz.booksy.com/blog/salon-owner-booth-renter-responsibilities-rules-roles-and-rights" TargetMode="External"/><Relationship Id="rId25" Type="http://schemas.openxmlformats.org/officeDocument/2006/relationships/hyperlink" Target="https://www.nailsmag.com/articles/a-booth-renter-by-any-other-name" TargetMode="External"/><Relationship Id="rId69" Type="http://schemas.openxmlformats.org/officeDocument/2006/relationships/hyperlink" Target="https://developer.apple.com/support/offering-account-deletion-in-your-app/" TargetMode="External"/><Relationship Id="rId28" Type="http://schemas.openxmlformats.org/officeDocument/2006/relationships/hyperlink" Target="https://www.crunchydata.com/blog/designing-your-postgres-database-for-multi-tenancy" TargetMode="External"/><Relationship Id="rId27" Type="http://schemas.openxmlformats.org/officeDocument/2006/relationships/hyperlink" Target="https://salonist.io/industries/salon-booth-for-renter" TargetMode="External"/><Relationship Id="rId29" Type="http://schemas.openxmlformats.org/officeDocument/2006/relationships/hyperlink" Target="https://tenantledger.com/features/stripe-payments" TargetMode="External"/><Relationship Id="rId51" Type="http://schemas.openxmlformats.org/officeDocument/2006/relationships/hyperlink" Target="https://getvish.com/feature-comparison/" TargetMode="External"/><Relationship Id="rId50" Type="http://schemas.openxmlformats.org/officeDocument/2006/relationships/hyperlink" Target="https://www.kitomba.com/integrations/vish/" TargetMode="External"/><Relationship Id="rId53" Type="http://schemas.openxmlformats.org/officeDocument/2006/relationships/hyperlink" Target="https://winbackengine.com/customer-churn-statistics/" TargetMode="External"/><Relationship Id="rId52" Type="http://schemas.openxmlformats.org/officeDocument/2006/relationships/hyperlink" Target="https://getvish.com/" TargetMode="External"/><Relationship Id="rId11" Type="http://schemas.openxmlformats.org/officeDocument/2006/relationships/hyperlink" Target="https://dingg.app/blogs/top-7-salon-management-softwares-in-the-us-2025-edition" TargetMode="External"/><Relationship Id="rId55" Type="http://schemas.openxmlformats.org/officeDocument/2006/relationships/hyperlink" Target="https://www.meevo.com/blog/calculating-client-retention-rate/" TargetMode="External"/><Relationship Id="rId10" Type="http://schemas.openxmlformats.org/officeDocument/2006/relationships/hyperlink" Target="https://agentzap.ai/blog/vagaro-vs-fresha-vs-boulevard-salon-software-2026" TargetMode="External"/><Relationship Id="rId54" Type="http://schemas.openxmlformats.org/officeDocument/2006/relationships/hyperlink" Target="https://blog.miosalon.com/salon-customer-retention-strategies-youre-not-using-yet/" TargetMode="External"/><Relationship Id="rId13" Type="http://schemas.openxmlformats.org/officeDocument/2006/relationships/hyperlink" Target="https://www.joinhomebase.com/blog/best-salon-scheduling-app" TargetMode="External"/><Relationship Id="rId57" Type="http://schemas.openxmlformats.org/officeDocument/2006/relationships/hyperlink" Target="https://salonproducts.com/products/blow-dry-monthly-membership" TargetMode="External"/><Relationship Id="rId12" Type="http://schemas.openxmlformats.org/officeDocument/2006/relationships/hyperlink" Target="https://www.dabicus.com/booking-software/hairstylist" TargetMode="External"/><Relationship Id="rId56" Type="http://schemas.openxmlformats.org/officeDocument/2006/relationships/hyperlink" Target="https://trendingbythetracks.com/blowdry-membership" TargetMode="External"/><Relationship Id="rId15" Type="http://schemas.openxmlformats.org/officeDocument/2006/relationships/hyperlink" Target="https://sparkalz.com/stop-double-booking-issues-with-beauty-salon-software/" TargetMode="External"/><Relationship Id="rId59" Type="http://schemas.openxmlformats.org/officeDocument/2006/relationships/hyperlink" Target="https://passkit.com/" TargetMode="External"/><Relationship Id="rId14" Type="http://schemas.openxmlformats.org/officeDocument/2006/relationships/hyperlink" Target="https://www.styleseat.com/blog/how-can-double-booking-increase-your-income/" TargetMode="External"/><Relationship Id="rId58" Type="http://schemas.openxmlformats.org/officeDocument/2006/relationships/hyperlink" Target="https://subport.us/blog/hair-salons-hairstylist-membership-subscription-mobile-app" TargetMode="External"/><Relationship Id="rId17" Type="http://schemas.openxmlformats.org/officeDocument/2006/relationships/hyperlink" Target="https://play.google.com/store/apps/details?id=com.jacksontempra.apps.hea" TargetMode="External"/><Relationship Id="rId16" Type="http://schemas.openxmlformats.org/officeDocument/2006/relationships/hyperlink" Target="https://play.google.com/store/apps/details?id=com.saloncard&amp;hl=en_US" TargetMode="External"/><Relationship Id="rId19" Type="http://schemas.openxmlformats.org/officeDocument/2006/relationships/hyperlink" Target="https://zoca.com/post/salon-sms-marketing-how-to-use-text-messages-to-fill-your-calendar" TargetMode="External"/><Relationship Id="rId18" Type="http://schemas.openxmlformats.org/officeDocument/2006/relationships/hyperlink" Target="https://apps.apple.com/us/app/salon-formulator/id15999348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