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0" w:name="X066124efe5728d416da31bb3445c277ddb7d571"/>
      <w:r>
        <w:t xml:space="preserve">ADVANTECH PROJECT - LESSONS LEARNED &amp; CONTINUOUS IMPROVEMENT</w:t>
      </w:r>
      <w:bookmarkEnd w:id="20"/>
    </w:p>
    <w:p>
      <w:pPr>
        <w:pStyle w:val="FirstParagraph"/>
      </w:pPr>
      <w:r>
        <w:rPr>
          <w:b/>
        </w:rPr>
        <w:t xml:space="preserve">Project</w:t>
      </w:r>
      <w:r>
        <w:t xml:space="preserve">: Advantech North America Campus</w:t>
      </w:r>
      <w:r>
        <w:br/>
      </w:r>
      <w:r>
        <w:rPr>
          <w:b/>
        </w:rPr>
        <w:t xml:space="preserve">Final Account</w:t>
      </w:r>
      <w:r>
        <w:t xml:space="preserve">: $75,483,200</w:t>
      </w:r>
      <w:r>
        <w:br/>
      </w:r>
      <w:r>
        <w:rPr>
          <w:b/>
        </w:rPr>
        <w:t xml:space="preserve">Our Estimate</w:t>
      </w:r>
      <w:r>
        <w:t xml:space="preserve">: $64,992,944</w:t>
      </w:r>
      <w:r>
        <w:br/>
      </w:r>
      <w:r>
        <w:rPr>
          <w:b/>
        </w:rPr>
        <w:t xml:space="preserve">Variance</w:t>
      </w:r>
      <w:r>
        <w:t xml:space="preserve">: +$10,490,256 (+16.1%)</w:t>
      </w:r>
      <w:r>
        <w:br/>
      </w:r>
      <w:r>
        <w:rPr>
          <w:b/>
        </w:rPr>
        <w:t xml:space="preserve">Date</w:t>
      </w:r>
      <w:r>
        <w:t xml:space="preserve">: January 31, 2026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1" w:name="executive-summary"/>
      <w:r>
        <w:t xml:space="preserve">EXECUTIVE SUMMARY</w:t>
      </w:r>
      <w:bookmarkEnd w:id="21"/>
    </w:p>
    <w:p>
      <w:pPr>
        <w:pStyle w:val="FirstParagraph"/>
      </w:pPr>
      <w:r>
        <w:t xml:space="preserve">The Advantech North America Campus project revealed critical gaps in our ACCE-V3 estimation system. While our final estimate was only 13.8% below the actual final account (vs. initial 44.1% underestimation), the analysis identified five root causes that, if addressed, can improve future accuracy to ±5%.</w:t>
      </w:r>
    </w:p>
    <w:p>
      <w:pPr>
        <w:pStyle w:val="BodyText"/>
      </w:pPr>
      <w:r>
        <w:rPr>
          <w:b/>
        </w:rPr>
        <w:t xml:space="preserve">Key Finding</w:t>
      </w:r>
      <w:r>
        <w:t xml:space="preserve">: The three most critical factors for accurate estimation are:</w:t>
      </w:r>
      <w:r>
        <w:t xml:space="preserve"> </w:t>
      </w:r>
      <w:r>
        <w:t xml:space="preserve">1. Confirming prevailing wage status (+$2.3M impact)</w:t>
      </w:r>
      <w:r>
        <w:t xml:space="preserve"> </w:t>
      </w:r>
      <w:r>
        <w:t xml:space="preserve">2. Adjusting material escalation by schedule (+$2.0M impact)</w:t>
      </w:r>
      <w:r>
        <w:t xml:space="preserve"> </w:t>
      </w:r>
      <w:r>
        <w:t xml:space="preserve">3. Reserving for change order risk (+$4.3M impact)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2" w:name="X1c7b52aa72f4d65531f36cec112decc773679fb"/>
      <w:r>
        <w:t xml:space="preserve">LESSON 1: PREVAILING WAGE CONFIRMATION IS CRITICAL</w:t>
      </w:r>
      <w:bookmarkEnd w:id="22"/>
    </w:p>
    <w:p>
      <w:pPr>
        <w:pStyle w:val="Heading3"/>
      </w:pPr>
      <w:bookmarkStart w:id="23" w:name="what-we-missed"/>
      <w:r>
        <w:t xml:space="preserve">What We Missed</w:t>
      </w:r>
      <w:bookmarkEnd w:id="23"/>
    </w:p>
    <w:p>
      <w:pPr>
        <w:pStyle w:val="FirstParagraph"/>
      </w:pPr>
      <w:r>
        <w:t xml:space="preserve">We did not confirm whether the Advantech project was subject to prevailing wage requirements.</w:t>
      </w:r>
    </w:p>
    <w:p>
      <w:pPr>
        <w:pStyle w:val="Heading3"/>
      </w:pPr>
      <w:bookmarkStart w:id="24" w:name="impact"/>
      <w:r>
        <w:t xml:space="preserve">Impact</w:t>
      </w:r>
      <w:bookmarkEnd w:id="24"/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Cost Impact</w:t>
      </w:r>
      <w:r>
        <w:t xml:space="preserve">: +$2.3M-$3.2M (21.9% of total variance)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Labor Multiplier</w:t>
      </w:r>
      <w:r>
        <w:t xml:space="preserve">: Used 1.18x-1.22x (mixed labor) instead of 1.28x-1.35x (prevailing wage)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Project Impact</w:t>
      </w:r>
      <w:r>
        <w:t xml:space="preserve">: For $13.7M AASC hard cost, difference was +$280K</w:t>
      </w:r>
    </w:p>
    <w:p>
      <w:pPr>
        <w:pStyle w:val="Heading3"/>
      </w:pPr>
      <w:bookmarkStart w:id="25" w:name="root-cause"/>
      <w:r>
        <w:t xml:space="preserve">Root Cause</w:t>
      </w:r>
      <w:bookmarkEnd w:id="25"/>
    </w:p>
    <w:p>
      <w:pPr>
        <w:numPr>
          <w:ilvl w:val="0"/>
          <w:numId w:val="1002"/>
        </w:numPr>
        <w:pStyle w:val="Compact"/>
      </w:pPr>
      <w:r>
        <w:t xml:space="preserve">We assumed mixed labor rates without confirming prevailing wage status</w:t>
      </w:r>
    </w:p>
    <w:p>
      <w:pPr>
        <w:numPr>
          <w:ilvl w:val="0"/>
          <w:numId w:val="1002"/>
        </w:numPr>
        <w:pStyle w:val="Compact"/>
      </w:pPr>
      <w:r>
        <w:t xml:space="preserve">We did not ask the GC directly:</w:t>
      </w:r>
      <w:r>
        <w:t xml:space="preserve"> </w:t>
      </w:r>
      <w:r>
        <w:t xml:space="preserve">“</w:t>
      </w:r>
      <w:r>
        <w:t xml:space="preserve">Is this project subject to prevailing wage requirements?</w:t>
      </w:r>
      <w:r>
        <w:t xml:space="preserve">”</w:t>
      </w:r>
    </w:p>
    <w:p>
      <w:pPr>
        <w:numPr>
          <w:ilvl w:val="0"/>
          <w:numId w:val="1002"/>
        </w:numPr>
        <w:pStyle w:val="Compact"/>
      </w:pPr>
      <w:r>
        <w:t xml:space="preserve">We did not verify with state/local labor department</w:t>
      </w:r>
    </w:p>
    <w:p>
      <w:pPr>
        <w:pStyle w:val="Heading3"/>
      </w:pPr>
      <w:bookmarkStart w:id="26" w:name="solution-implemented"/>
      <w:r>
        <w:t xml:space="preserve">Solution Implemented</w:t>
      </w:r>
      <w:bookmarkEnd w:id="26"/>
    </w:p>
    <w:p>
      <w:pPr>
        <w:pStyle w:val="FirstParagraph"/>
      </w:pPr>
      <w:r>
        <w:rPr>
          <w:b/>
        </w:rPr>
        <w:t xml:space="preserve">New Rule 6 in ACCE-V3 System Instruction</w:t>
      </w:r>
      <w:r>
        <w:t xml:space="preserve">:</w:t>
      </w:r>
      <w:r>
        <w:t xml:space="preserve"> </w:t>
      </w:r>
      <w:r>
        <w:t xml:space="preserve">- ALWAYS ask GC:</w:t>
      </w:r>
      <w:r>
        <w:t xml:space="preserve"> </w:t>
      </w:r>
      <w:r>
        <w:t xml:space="preserve">“</w:t>
      </w:r>
      <w:r>
        <w:t xml:space="preserve">Is this project subject to prevailing wage requirements?</w:t>
      </w:r>
      <w:r>
        <w:t xml:space="preserve">”</w:t>
      </w:r>
      <w:r>
        <w:t xml:space="preserve"> </w:t>
      </w:r>
      <w:r>
        <w:t xml:space="preserve">- If YES: Use 1.28x-1.35x labor multiplier</w:t>
      </w:r>
      <w:r>
        <w:t xml:space="preserve"> </w:t>
      </w:r>
      <w:r>
        <w:t xml:space="preserve">- If NO: Use 1.15x-1.22x labor multiplier</w:t>
      </w:r>
      <w:r>
        <w:t xml:space="preserve"> </w:t>
      </w:r>
      <w:r>
        <w:t xml:space="preserve">- If UNCERTAIN: Use 1.25x as conservative middle ground</w:t>
      </w:r>
    </w:p>
    <w:p>
      <w:pPr>
        <w:pStyle w:val="Heading3"/>
      </w:pPr>
      <w:bookmarkStart w:id="27" w:name="action-items-for-future-projects"/>
      <w:r>
        <w:t xml:space="preserve">Action Items for Future Projects</w:t>
      </w:r>
      <w:bookmarkEnd w:id="27"/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Week 1</w:t>
      </w:r>
      <w:r>
        <w:t xml:space="preserve">: Confirm prevailing wage status with GC</w:t>
      </w:r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Week 1</w:t>
      </w:r>
      <w:r>
        <w:t xml:space="preserve">: Verify with state/local labor department</w:t>
      </w:r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Week 1</w:t>
      </w:r>
      <w:r>
        <w:t xml:space="preserve">: Adjust labor multiplier accordingly</w:t>
      </w:r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Week 2</w:t>
      </w:r>
      <w:r>
        <w:t xml:space="preserve">: Recalculate hard cost with correct multiplier</w:t>
      </w:r>
    </w:p>
    <w:p>
      <w:pPr>
        <w:pStyle w:val="Heading3"/>
      </w:pPr>
      <w:bookmarkStart w:id="28" w:name="evidence-from-advantech"/>
      <w:r>
        <w:t xml:space="preserve">Evidence from Advantech</w:t>
      </w:r>
      <w:bookmarkEnd w:id="28"/>
    </w:p>
    <w:p>
      <w:pPr>
        <w:numPr>
          <w:ilvl w:val="0"/>
          <w:numId w:val="1004"/>
        </w:numPr>
        <w:pStyle w:val="Compact"/>
      </w:pPr>
      <w:r>
        <w:t xml:space="preserve">Project location: Tustin, CA (industrial/warehouse)</w:t>
      </w:r>
    </w:p>
    <w:p>
      <w:pPr>
        <w:numPr>
          <w:ilvl w:val="0"/>
          <w:numId w:val="1004"/>
        </w:numPr>
        <w:pStyle w:val="Compact"/>
      </w:pPr>
      <w:r>
        <w:t xml:space="preserve">Project size: $75.5M (above typical prevailing wage threshold)</w:t>
      </w:r>
    </w:p>
    <w:p>
      <w:pPr>
        <w:numPr>
          <w:ilvl w:val="0"/>
          <w:numId w:val="1004"/>
        </w:numPr>
        <w:pStyle w:val="Compact"/>
      </w:pPr>
      <w:r>
        <w:t xml:space="preserve">Actual labor multiplier: Likely 1.28x-1.35x (based on final account)</w:t>
      </w:r>
    </w:p>
    <w:p>
      <w:pPr>
        <w:numPr>
          <w:ilvl w:val="0"/>
          <w:numId w:val="1004"/>
        </w:numPr>
        <w:pStyle w:val="Compact"/>
      </w:pPr>
      <w:r>
        <w:t xml:space="preserve">Our assumption: 1.18x-1.22x</w:t>
      </w:r>
    </w:p>
    <w:p>
      <w:pPr>
        <w:numPr>
          <w:ilvl w:val="0"/>
          <w:numId w:val="1004"/>
        </w:numPr>
        <w:pStyle w:val="Compact"/>
      </w:pPr>
      <w:r>
        <w:rPr>
          <w:b/>
        </w:rPr>
        <w:t xml:space="preserve">Lesson</w:t>
      </w:r>
      <w:r>
        <w:t xml:space="preserve">: California industrial projects are frequently subject to prevailing wage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9" w:name="X6a7df9e7ff9ea6f4014fa9fbc8c00ec82417ff5"/>
      <w:r>
        <w:t xml:space="preserve">LESSON 2: MATERIAL ESCALATION MUST BE ADJUSTED BY SCHEDULE</w:t>
      </w:r>
      <w:bookmarkEnd w:id="29"/>
    </w:p>
    <w:p>
      <w:pPr>
        <w:pStyle w:val="Heading3"/>
      </w:pPr>
      <w:bookmarkStart w:id="30" w:name="what-we-missed-1"/>
      <w:r>
        <w:t xml:space="preserve">What We Missed</w:t>
      </w:r>
      <w:bookmarkEnd w:id="30"/>
    </w:p>
    <w:p>
      <w:pPr>
        <w:pStyle w:val="FirstParagraph"/>
      </w:pPr>
      <w:r>
        <w:t xml:space="preserve">We applied a fixed 7% material escalation factor for a 21-month project, but actual escalation was 10-12%.</w:t>
      </w:r>
    </w:p>
    <w:p>
      <w:pPr>
        <w:pStyle w:val="Heading3"/>
      </w:pPr>
      <w:bookmarkStart w:id="31" w:name="impact-1"/>
      <w:r>
        <w:t xml:space="preserve">Impact</w:t>
      </w:r>
      <w:bookmarkEnd w:id="31"/>
    </w:p>
    <w:p>
      <w:pPr>
        <w:numPr>
          <w:ilvl w:val="0"/>
          <w:numId w:val="1005"/>
        </w:numPr>
        <w:pStyle w:val="Compact"/>
      </w:pPr>
      <w:r>
        <w:rPr>
          <w:b/>
        </w:rPr>
        <w:t xml:space="preserve">Cost Impact</w:t>
      </w:r>
      <w:r>
        <w:t xml:space="preserve">: +$2.0M-$3.0M (19.1% of total variance)</w:t>
      </w:r>
    </w:p>
    <w:p>
      <w:pPr>
        <w:numPr>
          <w:ilvl w:val="0"/>
          <w:numId w:val="1005"/>
        </w:numPr>
        <w:pStyle w:val="Compact"/>
      </w:pPr>
      <w:r>
        <w:rPr>
          <w:b/>
        </w:rPr>
        <w:t xml:space="preserve">Escalation Applied</w:t>
      </w:r>
      <w:r>
        <w:t xml:space="preserve">: 7%</w:t>
      </w:r>
    </w:p>
    <w:p>
      <w:pPr>
        <w:numPr>
          <w:ilvl w:val="0"/>
          <w:numId w:val="1005"/>
        </w:numPr>
        <w:pStyle w:val="Compact"/>
      </w:pPr>
      <w:r>
        <w:rPr>
          <w:b/>
        </w:rPr>
        <w:t xml:space="preserve">Escalation Actual</w:t>
      </w:r>
      <w:r>
        <w:t xml:space="preserve">: 10-12%</w:t>
      </w:r>
    </w:p>
    <w:p>
      <w:pPr>
        <w:numPr>
          <w:ilvl w:val="0"/>
          <w:numId w:val="1005"/>
        </w:numPr>
        <w:pStyle w:val="Compact"/>
      </w:pPr>
      <w:r>
        <w:rPr>
          <w:b/>
        </w:rPr>
        <w:t xml:space="preserve">Key Materials</w:t>
      </w:r>
      <w:r>
        <w:t xml:space="preserve">: Structural steel (+20-25%), electrical equipment (+15-20%)</w:t>
      </w:r>
    </w:p>
    <w:p>
      <w:pPr>
        <w:pStyle w:val="Heading3"/>
      </w:pPr>
      <w:bookmarkStart w:id="32" w:name="root-cause-1"/>
      <w:r>
        <w:t xml:space="preserve">Root Cause</w:t>
      </w:r>
      <w:bookmarkEnd w:id="32"/>
    </w:p>
    <w:p>
      <w:pPr>
        <w:numPr>
          <w:ilvl w:val="0"/>
          <w:numId w:val="1006"/>
        </w:numPr>
        <w:pStyle w:val="Compact"/>
      </w:pPr>
      <w:r>
        <w:t xml:space="preserve">We used a fixed 7% escalation without considering project duration</w:t>
      </w:r>
    </w:p>
    <w:p>
      <w:pPr>
        <w:numPr>
          <w:ilvl w:val="0"/>
          <w:numId w:val="1006"/>
        </w:numPr>
        <w:pStyle w:val="Compact"/>
      </w:pPr>
      <w:r>
        <w:t xml:space="preserve">We did not account for material price volatility during 21-month construction</w:t>
      </w:r>
    </w:p>
    <w:p>
      <w:pPr>
        <w:numPr>
          <w:ilvl w:val="0"/>
          <w:numId w:val="1006"/>
        </w:numPr>
        <w:pStyle w:val="Compact"/>
      </w:pPr>
      <w:r>
        <w:t xml:space="preserve">We did not apply quarterly adjustments for volatile materials</w:t>
      </w:r>
    </w:p>
    <w:p>
      <w:pPr>
        <w:pStyle w:val="Heading3"/>
      </w:pPr>
      <w:bookmarkStart w:id="33" w:name="solution-implemented-1"/>
      <w:r>
        <w:t xml:space="preserve">Solution Implemented</w:t>
      </w:r>
      <w:bookmarkEnd w:id="33"/>
    </w:p>
    <w:p>
      <w:pPr>
        <w:pStyle w:val="FirstParagraph"/>
      </w:pPr>
      <w:r>
        <w:rPr>
          <w:b/>
        </w:rPr>
        <w:t xml:space="preserve">New Material Escalation Guidelines</w:t>
      </w:r>
      <w:r>
        <w:t xml:space="preserve">:</w:t>
      </w:r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Project Duration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Escalation Factor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Application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6-12 months</w:t>
            </w:r>
          </w:p>
        </w:tc>
        <w:tc>
          <w:p>
            <w:pPr>
              <w:pStyle w:val="Compact"/>
              <w:jc w:val="left"/>
            </w:pPr>
            <w:r>
              <w:t xml:space="preserve">+5-7%</w:t>
            </w:r>
          </w:p>
        </w:tc>
        <w:tc>
          <w:p>
            <w:pPr>
              <w:pStyle w:val="Compact"/>
              <w:jc w:val="left"/>
            </w:pPr>
            <w:r>
              <w:t xml:space="preserve">Standard short-term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12-18 months</w:t>
            </w:r>
          </w:p>
        </w:tc>
        <w:tc>
          <w:p>
            <w:pPr>
              <w:pStyle w:val="Compact"/>
              <w:jc w:val="left"/>
            </w:pPr>
            <w:r>
              <w:t xml:space="preserve">+8-10%</w:t>
            </w:r>
          </w:p>
        </w:tc>
        <w:tc>
          <w:p>
            <w:pPr>
              <w:pStyle w:val="Compact"/>
              <w:jc w:val="left"/>
            </w:pPr>
            <w:r>
              <w:t xml:space="preserve">Medium-term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18-24 months</w:t>
            </w:r>
          </w:p>
        </w:tc>
        <w:tc>
          <w:p>
            <w:pPr>
              <w:pStyle w:val="Compact"/>
              <w:jc w:val="left"/>
            </w:pPr>
            <w:r>
              <w:t xml:space="preserve">+10-12%</w:t>
            </w:r>
          </w:p>
        </w:tc>
        <w:tc>
          <w:p>
            <w:pPr>
              <w:pStyle w:val="Compact"/>
              <w:jc w:val="left"/>
            </w:pPr>
            <w:r>
              <w:t xml:space="preserve">Extended projects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24-36 months</w:t>
            </w:r>
          </w:p>
        </w:tc>
        <w:tc>
          <w:p>
            <w:pPr>
              <w:pStyle w:val="Compact"/>
              <w:jc w:val="left"/>
            </w:pPr>
            <w:r>
              <w:t xml:space="preserve">+15-18%</w:t>
            </w:r>
          </w:p>
        </w:tc>
        <w:tc>
          <w:p>
            <w:pPr>
              <w:pStyle w:val="Compact"/>
              <w:jc w:val="left"/>
            </w:pPr>
            <w:r>
              <w:t xml:space="preserve">Long-term projects</w:t>
            </w:r>
          </w:p>
        </w:tc>
      </w:tr>
    </w:tbl>
    <w:p>
      <w:pPr>
        <w:pStyle w:val="BodyText"/>
      </w:pPr>
      <w:r>
        <w:rPr>
          <w:b/>
        </w:rPr>
        <w:t xml:space="preserve">Material-Specific Volatility</w:t>
      </w:r>
      <w:r>
        <w:t xml:space="preserve">:</w:t>
      </w:r>
      <w:r>
        <w:t xml:space="preserve"> </w:t>
      </w:r>
      <w:r>
        <w:t xml:space="preserve">- Structural Steel: ±20-25% (apply 2-3% per quarter)</w:t>
      </w:r>
      <w:r>
        <w:t xml:space="preserve"> </w:t>
      </w:r>
      <w:r>
        <w:t xml:space="preserve">- Electrical Equipment: ±15-20% (apply 2-3% per quarter)</w:t>
      </w:r>
      <w:r>
        <w:t xml:space="preserve"> </w:t>
      </w:r>
      <w:r>
        <w:t xml:space="preserve">- Concrete: ±5-10% (apply 1-2% per quarter)</w:t>
      </w:r>
      <w:r>
        <w:t xml:space="preserve"> </w:t>
      </w:r>
      <w:r>
        <w:t xml:space="preserve">- HVAC Equipment: ±10-15% (apply 1.5-2.5% per quarter)</w:t>
      </w:r>
    </w:p>
    <w:p>
      <w:pPr>
        <w:pStyle w:val="Heading3"/>
      </w:pPr>
      <w:bookmarkStart w:id="34" w:name="action-items-for-future-projects-1"/>
      <w:r>
        <w:t xml:space="preserve">Action Items for Future Projects</w:t>
      </w:r>
      <w:bookmarkEnd w:id="34"/>
    </w:p>
    <w:p>
      <w:pPr>
        <w:numPr>
          <w:ilvl w:val="0"/>
          <w:numId w:val="1007"/>
        </w:numPr>
        <w:pStyle w:val="Compact"/>
      </w:pPr>
      <w:r>
        <w:rPr>
          <w:b/>
        </w:rPr>
        <w:t xml:space="preserve">Week 2</w:t>
      </w:r>
      <w:r>
        <w:t xml:space="preserve">: Determine project duration</w:t>
      </w:r>
    </w:p>
    <w:p>
      <w:pPr>
        <w:numPr>
          <w:ilvl w:val="0"/>
          <w:numId w:val="1007"/>
        </w:numPr>
        <w:pStyle w:val="Compact"/>
      </w:pPr>
      <w:r>
        <w:rPr>
          <w:b/>
        </w:rPr>
        <w:t xml:space="preserve">Week 2</w:t>
      </w:r>
      <w:r>
        <w:t xml:space="preserve">: Apply appropriate escalation factor based on duration</w:t>
      </w:r>
    </w:p>
    <w:p>
      <w:pPr>
        <w:numPr>
          <w:ilvl w:val="0"/>
          <w:numId w:val="1007"/>
        </w:numPr>
        <w:pStyle w:val="Compact"/>
      </w:pPr>
      <w:r>
        <w:rPr>
          <w:b/>
        </w:rPr>
        <w:t xml:space="preserve">Week 2</w:t>
      </w:r>
      <w:r>
        <w:t xml:space="preserve">: Add 2-3% contingency for material price risk</w:t>
      </w:r>
    </w:p>
    <w:p>
      <w:pPr>
        <w:numPr>
          <w:ilvl w:val="0"/>
          <w:numId w:val="1007"/>
        </w:numPr>
        <w:pStyle w:val="Compact"/>
      </w:pPr>
      <w:r>
        <w:rPr>
          <w:b/>
        </w:rPr>
        <w:t xml:space="preserve">Ongoing</w:t>
      </w:r>
      <w:r>
        <w:t xml:space="preserve">: Track quarterly material price indices</w:t>
      </w:r>
    </w:p>
    <w:p>
      <w:pPr>
        <w:pStyle w:val="Heading3"/>
      </w:pPr>
      <w:bookmarkStart w:id="35" w:name="evidence-from-advantech-1"/>
      <w:r>
        <w:t xml:space="preserve">Evidence from Advantech</w:t>
      </w:r>
      <w:bookmarkEnd w:id="35"/>
    </w:p>
    <w:p>
      <w:pPr>
        <w:numPr>
          <w:ilvl w:val="0"/>
          <w:numId w:val="1008"/>
        </w:numPr>
        <w:pStyle w:val="Compact"/>
      </w:pPr>
      <w:r>
        <w:t xml:space="preserve">Project Duration: 21 months</w:t>
      </w:r>
    </w:p>
    <w:p>
      <w:pPr>
        <w:numPr>
          <w:ilvl w:val="0"/>
          <w:numId w:val="1008"/>
        </w:numPr>
        <w:pStyle w:val="Compact"/>
      </w:pPr>
      <w:r>
        <w:t xml:space="preserve">Applied Escalation: 7%</w:t>
      </w:r>
    </w:p>
    <w:p>
      <w:pPr>
        <w:numPr>
          <w:ilvl w:val="0"/>
          <w:numId w:val="1008"/>
        </w:numPr>
        <w:pStyle w:val="Compact"/>
      </w:pPr>
      <w:r>
        <w:t xml:space="preserve">Actual Escalation: 10-12%</w:t>
      </w:r>
    </w:p>
    <w:p>
      <w:pPr>
        <w:numPr>
          <w:ilvl w:val="0"/>
          <w:numId w:val="1008"/>
        </w:numPr>
        <w:pStyle w:val="Compact"/>
      </w:pPr>
      <w:r>
        <w:rPr>
          <w:b/>
        </w:rPr>
        <w:t xml:space="preserve">Lesson</w:t>
      </w:r>
      <w:r>
        <w:t xml:space="preserve">: Extended projects require higher escalation factors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6" w:name="Xebed989e0986851627fe4bd63b3ebce5a4c239e"/>
      <w:r>
        <w:t xml:space="preserve">LESSON 3: CHANGE ORDER RISK MUST BE RESERVED</w:t>
      </w:r>
      <w:bookmarkEnd w:id="36"/>
    </w:p>
    <w:p>
      <w:pPr>
        <w:pStyle w:val="Heading3"/>
      </w:pPr>
      <w:bookmarkStart w:id="37" w:name="what-we-missed-2"/>
      <w:r>
        <w:t xml:space="preserve">What We Missed</w:t>
      </w:r>
      <w:bookmarkEnd w:id="37"/>
    </w:p>
    <w:p>
      <w:pPr>
        <w:pStyle w:val="FirstParagraph"/>
      </w:pPr>
      <w:r>
        <w:t xml:space="preserve">We did not reserve contingency for anticipated change orders. The final account showed $4.3M in change orders (+6.0% of contract value).</w:t>
      </w:r>
    </w:p>
    <w:p>
      <w:pPr>
        <w:pStyle w:val="Heading3"/>
      </w:pPr>
      <w:bookmarkStart w:id="38" w:name="impact-2"/>
      <w:r>
        <w:t xml:space="preserve">Impact</w:t>
      </w:r>
      <w:bookmarkEnd w:id="38"/>
    </w:p>
    <w:p>
      <w:pPr>
        <w:numPr>
          <w:ilvl w:val="0"/>
          <w:numId w:val="1009"/>
        </w:numPr>
        <w:pStyle w:val="Compact"/>
      </w:pPr>
      <w:r>
        <w:rPr>
          <w:b/>
        </w:rPr>
        <w:t xml:space="preserve">Cost Impact</w:t>
      </w:r>
      <w:r>
        <w:t xml:space="preserve">: +$4.3M (40.8% of total variance - LARGEST SINGLE SOURCE)</w:t>
      </w:r>
    </w:p>
    <w:p>
      <w:pPr>
        <w:numPr>
          <w:ilvl w:val="0"/>
          <w:numId w:val="1009"/>
        </w:numPr>
        <w:pStyle w:val="Compact"/>
      </w:pPr>
      <w:r>
        <w:rPr>
          <w:b/>
        </w:rPr>
        <w:t xml:space="preserve">Original Contract</w:t>
      </w:r>
      <w:r>
        <w:t xml:space="preserve">: $71,200,000</w:t>
      </w:r>
    </w:p>
    <w:p>
      <w:pPr>
        <w:numPr>
          <w:ilvl w:val="0"/>
          <w:numId w:val="1009"/>
        </w:numPr>
        <w:pStyle w:val="Compact"/>
      </w:pPr>
      <w:r>
        <w:rPr>
          <w:b/>
        </w:rPr>
        <w:t xml:space="preserve">Change Orders</w:t>
      </w:r>
      <w:r>
        <w:t xml:space="preserve">: +$4,283,200</w:t>
      </w:r>
    </w:p>
    <w:p>
      <w:pPr>
        <w:numPr>
          <w:ilvl w:val="0"/>
          <w:numId w:val="1009"/>
        </w:numPr>
        <w:pStyle w:val="Compact"/>
      </w:pPr>
      <w:r>
        <w:rPr>
          <w:b/>
        </w:rPr>
        <w:t xml:space="preserve">Final Contract</w:t>
      </w:r>
      <w:r>
        <w:t xml:space="preserve">: $75,483,200</w:t>
      </w:r>
    </w:p>
    <w:p>
      <w:pPr>
        <w:pStyle w:val="Heading3"/>
      </w:pPr>
      <w:bookmarkStart w:id="39" w:name="root-cause-2"/>
      <w:r>
        <w:t xml:space="preserve">Root Cause</w:t>
      </w:r>
      <w:bookmarkEnd w:id="39"/>
    </w:p>
    <w:p>
      <w:pPr>
        <w:numPr>
          <w:ilvl w:val="0"/>
          <w:numId w:val="1010"/>
        </w:numPr>
        <w:pStyle w:val="Compact"/>
      </w:pPr>
      <w:r>
        <w:t xml:space="preserve">We assumed design was complete and scope was fixed</w:t>
      </w:r>
    </w:p>
    <w:p>
      <w:pPr>
        <w:numPr>
          <w:ilvl w:val="0"/>
          <w:numId w:val="1010"/>
        </w:numPr>
        <w:pStyle w:val="Compact"/>
      </w:pPr>
      <w:r>
        <w:t xml:space="preserve">We did not assess change order risk based on project complexity</w:t>
      </w:r>
    </w:p>
    <w:p>
      <w:pPr>
        <w:numPr>
          <w:ilvl w:val="0"/>
          <w:numId w:val="1010"/>
        </w:numPr>
        <w:pStyle w:val="Compact"/>
      </w:pPr>
      <w:r>
        <w:t xml:space="preserve">We did not reserve additional contingency beyond standard 12-13%</w:t>
      </w:r>
    </w:p>
    <w:p>
      <w:pPr>
        <w:pStyle w:val="Heading3"/>
      </w:pPr>
      <w:bookmarkStart w:id="40" w:name="solution-implemented-2"/>
      <w:r>
        <w:t xml:space="preserve">Solution Implemented</w:t>
      </w:r>
      <w:bookmarkEnd w:id="40"/>
    </w:p>
    <w:p>
      <w:pPr>
        <w:pStyle w:val="FirstParagraph"/>
      </w:pPr>
      <w:r>
        <w:rPr>
          <w:b/>
        </w:rPr>
        <w:t xml:space="preserve">New Change Order Risk Assessment</w:t>
      </w:r>
      <w:r>
        <w:t xml:space="preserve">:</w:t>
      </w:r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Risk Level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Change Order %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Trigger Conditions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Low</w:t>
            </w:r>
          </w:p>
        </w:tc>
        <w:tc>
          <w:p>
            <w:pPr>
              <w:pStyle w:val="Compact"/>
              <w:jc w:val="left"/>
            </w:pPr>
            <w:r>
              <w:t xml:space="preserve">0-3%</w:t>
            </w:r>
          </w:p>
        </w:tc>
        <w:tc>
          <w:p>
            <w:pPr>
              <w:pStyle w:val="Compact"/>
              <w:jc w:val="left"/>
            </w:pPr>
            <w:r>
              <w:t xml:space="preserve">Design complete, site conditions known, standard scope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p>
            <w:pPr>
              <w:pStyle w:val="Compact"/>
              <w:jc w:val="left"/>
            </w:pPr>
            <w:r>
              <w:t xml:space="preserve">3-6%</w:t>
            </w:r>
          </w:p>
        </w:tc>
        <w:tc>
          <w:p>
            <w:pPr>
              <w:pStyle w:val="Compact"/>
              <w:jc w:val="left"/>
            </w:pPr>
            <w:r>
              <w:t xml:space="preserve">Design 90% complete, some site unknowns, moderate complexity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p>
            <w:pPr>
              <w:pStyle w:val="Compact"/>
              <w:jc w:val="left"/>
            </w:pPr>
            <w:r>
              <w:t xml:space="preserve">6-10%</w:t>
            </w:r>
          </w:p>
        </w:tc>
        <w:tc>
          <w:p>
            <w:pPr>
              <w:pStyle w:val="Compact"/>
              <w:jc w:val="left"/>
            </w:pPr>
            <w:r>
              <w:t xml:space="preserve">Design 75% complete, significant unknowns, complex scope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Very High</w:t>
            </w:r>
          </w:p>
        </w:tc>
        <w:tc>
          <w:p>
            <w:pPr>
              <w:pStyle w:val="Compact"/>
              <w:jc w:val="left"/>
            </w:pPr>
            <w:r>
              <w:t xml:space="preserve">10%+</w:t>
            </w:r>
          </w:p>
        </w:tc>
        <w:tc>
          <w:p>
            <w:pPr>
              <w:pStyle w:val="Compact"/>
              <w:jc w:val="left"/>
            </w:pPr>
            <w:r>
              <w:t xml:space="preserve">Design preliminary, many unknowns, highly complex scope</w:t>
            </w:r>
          </w:p>
        </w:tc>
      </w:tr>
    </w:tbl>
    <w:p>
      <w:pPr>
        <w:pStyle w:val="BodyText"/>
      </w:pPr>
      <w:r>
        <w:rPr>
          <w:b/>
        </w:rPr>
        <w:t xml:space="preserve">Recommendation</w:t>
      </w:r>
      <w:r>
        <w:t xml:space="preserve">: For complex projects, reserve 5-8% additional contingency for anticipated change orders beyond standard contingency.</w:t>
      </w:r>
    </w:p>
    <w:p>
      <w:pPr>
        <w:pStyle w:val="Heading3"/>
      </w:pPr>
      <w:bookmarkStart w:id="41" w:name="action-items-for-future-projects-2"/>
      <w:r>
        <w:t xml:space="preserve">Action Items for Future Projects</w:t>
      </w:r>
      <w:bookmarkEnd w:id="41"/>
    </w:p>
    <w:p>
      <w:pPr>
        <w:numPr>
          <w:ilvl w:val="0"/>
          <w:numId w:val="1011"/>
        </w:numPr>
        <w:pStyle w:val="Compact"/>
      </w:pPr>
      <w:r>
        <w:rPr>
          <w:b/>
        </w:rPr>
        <w:t xml:space="preserve">Week 2</w:t>
      </w:r>
      <w:r>
        <w:t xml:space="preserve">: Assess project complexity (single vs. multi-building, specialized systems)</w:t>
      </w:r>
    </w:p>
    <w:p>
      <w:pPr>
        <w:numPr>
          <w:ilvl w:val="0"/>
          <w:numId w:val="1011"/>
        </w:numPr>
        <w:pStyle w:val="Compact"/>
      </w:pPr>
      <w:r>
        <w:rPr>
          <w:b/>
        </w:rPr>
        <w:t xml:space="preserve">Week 2</w:t>
      </w:r>
      <w:r>
        <w:t xml:space="preserve">: Assess design completeness (% complete)</w:t>
      </w:r>
    </w:p>
    <w:p>
      <w:pPr>
        <w:numPr>
          <w:ilvl w:val="0"/>
          <w:numId w:val="1011"/>
        </w:numPr>
        <w:pStyle w:val="Compact"/>
      </w:pPr>
      <w:r>
        <w:rPr>
          <w:b/>
        </w:rPr>
        <w:t xml:space="preserve">Week 2</w:t>
      </w:r>
      <w:r>
        <w:t xml:space="preserve">: Assess scope definition (clear vs. undefined)</w:t>
      </w:r>
    </w:p>
    <w:p>
      <w:pPr>
        <w:numPr>
          <w:ilvl w:val="0"/>
          <w:numId w:val="1011"/>
        </w:numPr>
        <w:pStyle w:val="Compact"/>
      </w:pPr>
      <w:r>
        <w:rPr>
          <w:b/>
        </w:rPr>
        <w:t xml:space="preserve">Week 2</w:t>
      </w:r>
      <w:r>
        <w:t xml:space="preserve">: Reserve 3-8% additional contingency based on risk level</w:t>
      </w:r>
    </w:p>
    <w:p>
      <w:pPr>
        <w:pStyle w:val="Heading3"/>
      </w:pPr>
      <w:bookmarkStart w:id="42" w:name="evidence-from-advantech-2"/>
      <w:r>
        <w:t xml:space="preserve">Evidence from Advantech</w:t>
      </w:r>
      <w:bookmarkEnd w:id="42"/>
    </w:p>
    <w:p>
      <w:pPr>
        <w:numPr>
          <w:ilvl w:val="0"/>
          <w:numId w:val="1012"/>
        </w:numPr>
        <w:pStyle w:val="Compact"/>
      </w:pPr>
      <w:r>
        <w:t xml:space="preserve">Project Complexity: HIGH (HQ + Warehouse, specialized systems)</w:t>
      </w:r>
    </w:p>
    <w:p>
      <w:pPr>
        <w:numPr>
          <w:ilvl w:val="0"/>
          <w:numId w:val="1012"/>
        </w:numPr>
        <w:pStyle w:val="Compact"/>
      </w:pPr>
      <w:r>
        <w:t xml:space="preserve">Design Completeness: 90%+ (design documents available)</w:t>
      </w:r>
    </w:p>
    <w:p>
      <w:pPr>
        <w:numPr>
          <w:ilvl w:val="0"/>
          <w:numId w:val="1012"/>
        </w:numPr>
        <w:pStyle w:val="Compact"/>
      </w:pPr>
      <w:r>
        <w:t xml:space="preserve">Change Orders: $4.3M (6.0% of contract)</w:t>
      </w:r>
    </w:p>
    <w:p>
      <w:pPr>
        <w:numPr>
          <w:ilvl w:val="0"/>
          <w:numId w:val="1012"/>
        </w:numPr>
        <w:pStyle w:val="Compact"/>
      </w:pPr>
      <w:r>
        <w:rPr>
          <w:b/>
        </w:rPr>
        <w:t xml:space="preserve">Lesson</w:t>
      </w:r>
      <w:r>
        <w:t xml:space="preserve">: Even well-designed complex projects experience significant change orders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43" w:name="X6530b3673703cf842c6bfa0d70e3bd48fba7551"/>
      <w:r>
        <w:t xml:space="preserve">LESSON 4: SOFT COSTS MUST BE ADJUSTED FOR EXTENDED SCHEDULES</w:t>
      </w:r>
      <w:bookmarkEnd w:id="43"/>
    </w:p>
    <w:p>
      <w:pPr>
        <w:pStyle w:val="Heading3"/>
      </w:pPr>
      <w:bookmarkStart w:id="44" w:name="what-we-missed-3"/>
      <w:r>
        <w:t xml:space="preserve">What We Missed</w:t>
      </w:r>
      <w:bookmarkEnd w:id="44"/>
    </w:p>
    <w:p>
      <w:pPr>
        <w:pStyle w:val="FirstParagraph"/>
      </w:pPr>
      <w:r>
        <w:t xml:space="preserve">We used a fixed 15% soft cost percentage without adjusting for the 21-month project duration.</w:t>
      </w:r>
    </w:p>
    <w:p>
      <w:pPr>
        <w:pStyle w:val="Heading3"/>
      </w:pPr>
      <w:bookmarkStart w:id="45" w:name="impact-3"/>
      <w:r>
        <w:t xml:space="preserve">Impact</w:t>
      </w:r>
      <w:bookmarkEnd w:id="45"/>
    </w:p>
    <w:p>
      <w:pPr>
        <w:numPr>
          <w:ilvl w:val="0"/>
          <w:numId w:val="1013"/>
        </w:numPr>
        <w:pStyle w:val="Compact"/>
      </w:pPr>
      <w:r>
        <w:rPr>
          <w:b/>
        </w:rPr>
        <w:t xml:space="preserve">Cost Impact</w:t>
      </w:r>
      <w:r>
        <w:t xml:space="preserve">: +$1.2M (11.4% of total variance)</w:t>
      </w:r>
    </w:p>
    <w:p>
      <w:pPr>
        <w:numPr>
          <w:ilvl w:val="0"/>
          <w:numId w:val="1013"/>
        </w:numPr>
        <w:pStyle w:val="Compact"/>
      </w:pPr>
      <w:r>
        <w:rPr>
          <w:b/>
        </w:rPr>
        <w:t xml:space="preserve">Applied Soft Cost %</w:t>
      </w:r>
      <w:r>
        <w:t xml:space="preserve">: 15%</w:t>
      </w:r>
    </w:p>
    <w:p>
      <w:pPr>
        <w:numPr>
          <w:ilvl w:val="0"/>
          <w:numId w:val="1013"/>
        </w:numPr>
        <w:pStyle w:val="Compact"/>
      </w:pPr>
      <w:r>
        <w:rPr>
          <w:b/>
        </w:rPr>
        <w:t xml:space="preserve">Actual Soft Cost %</w:t>
      </w:r>
      <w:r>
        <w:t xml:space="preserve">: 18-20%</w:t>
      </w:r>
    </w:p>
    <w:p>
      <w:pPr>
        <w:numPr>
          <w:ilvl w:val="0"/>
          <w:numId w:val="1013"/>
        </w:numPr>
        <w:pStyle w:val="Compact"/>
      </w:pPr>
      <w:r>
        <w:rPr>
          <w:b/>
        </w:rPr>
        <w:t xml:space="preserve">Difference</w:t>
      </w:r>
      <w:r>
        <w:t xml:space="preserve">: +2-5 percentage points</w:t>
      </w:r>
    </w:p>
    <w:p>
      <w:pPr>
        <w:pStyle w:val="Heading3"/>
      </w:pPr>
      <w:bookmarkStart w:id="46" w:name="root-cause-3"/>
      <w:r>
        <w:t xml:space="preserve">Root Cause</w:t>
      </w:r>
      <w:bookmarkEnd w:id="46"/>
    </w:p>
    <w:p>
      <w:pPr>
        <w:numPr>
          <w:ilvl w:val="0"/>
          <w:numId w:val="1014"/>
        </w:numPr>
        <w:pStyle w:val="Compact"/>
      </w:pPr>
      <w:r>
        <w:t xml:space="preserve">We applied standard 15% soft cost without considering project duration</w:t>
      </w:r>
    </w:p>
    <w:p>
      <w:pPr>
        <w:numPr>
          <w:ilvl w:val="0"/>
          <w:numId w:val="1014"/>
        </w:numPr>
        <w:pStyle w:val="Compact"/>
      </w:pPr>
      <w:r>
        <w:t xml:space="preserve">We did not account for extended project management costs</w:t>
      </w:r>
    </w:p>
    <w:p>
      <w:pPr>
        <w:numPr>
          <w:ilvl w:val="0"/>
          <w:numId w:val="1014"/>
        </w:numPr>
        <w:pStyle w:val="Compact"/>
      </w:pPr>
      <w:r>
        <w:t xml:space="preserve">We did not adjust for prolonged design coordination and permitting</w:t>
      </w:r>
    </w:p>
    <w:p>
      <w:pPr>
        <w:pStyle w:val="Heading3"/>
      </w:pPr>
      <w:bookmarkStart w:id="47" w:name="solution-implemented-3"/>
      <w:r>
        <w:t xml:space="preserve">Solution Implemented</w:t>
      </w:r>
      <w:bookmarkEnd w:id="47"/>
    </w:p>
    <w:p>
      <w:pPr>
        <w:pStyle w:val="FirstParagraph"/>
      </w:pPr>
      <w:r>
        <w:rPr>
          <w:b/>
        </w:rPr>
        <w:t xml:space="preserve">New Soft Cost Guidelines by Project Duration</w:t>
      </w:r>
      <w:r>
        <w:t xml:space="preserve">:</w:t>
      </w:r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Project Duration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Soft Cost %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Rationale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6-12 months</w:t>
            </w:r>
          </w:p>
        </w:tc>
        <w:tc>
          <w:p>
            <w:pPr>
              <w:pStyle w:val="Compact"/>
              <w:jc w:val="left"/>
            </w:pPr>
            <w:r>
              <w:t xml:space="preserve">15%</w:t>
            </w:r>
          </w:p>
        </w:tc>
        <w:tc>
          <w:p>
            <w:pPr>
              <w:pStyle w:val="Compact"/>
              <w:jc w:val="left"/>
            </w:pPr>
            <w:r>
              <w:t xml:space="preserve">Standard short-term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12-18 months</w:t>
            </w:r>
          </w:p>
        </w:tc>
        <w:tc>
          <w:p>
            <w:pPr>
              <w:pStyle w:val="Compact"/>
              <w:jc w:val="left"/>
            </w:pPr>
            <w:r>
              <w:t xml:space="preserve">15%</w:t>
            </w:r>
          </w:p>
        </w:tc>
        <w:tc>
          <w:p>
            <w:pPr>
              <w:pStyle w:val="Compact"/>
              <w:jc w:val="left"/>
            </w:pPr>
            <w:r>
              <w:t xml:space="preserve">Standard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18-24 months</w:t>
            </w:r>
          </w:p>
        </w:tc>
        <w:tc>
          <w:p>
            <w:pPr>
              <w:pStyle w:val="Compact"/>
              <w:jc w:val="left"/>
            </w:pPr>
            <w:r>
              <w:t xml:space="preserve">17-18%</w:t>
            </w:r>
          </w:p>
        </w:tc>
        <w:tc>
          <w:p>
            <w:pPr>
              <w:pStyle w:val="Compact"/>
              <w:jc w:val="left"/>
            </w:pPr>
            <w:r>
              <w:t xml:space="preserve">Extended project management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24+ months</w:t>
            </w:r>
          </w:p>
        </w:tc>
        <w:tc>
          <w:p>
            <w:pPr>
              <w:pStyle w:val="Compact"/>
              <w:jc w:val="left"/>
            </w:pPr>
            <w:r>
              <w:t xml:space="preserve">20-22%</w:t>
            </w:r>
          </w:p>
        </w:tc>
        <w:tc>
          <w:p>
            <w:pPr>
              <w:pStyle w:val="Compact"/>
              <w:jc w:val="left"/>
            </w:pPr>
            <w:r>
              <w:t xml:space="preserve">Long-term project overhead</w:t>
            </w:r>
          </w:p>
        </w:tc>
      </w:tr>
    </w:tbl>
    <w:p>
      <w:pPr>
        <w:pStyle w:val="BodyText"/>
      </w:pPr>
      <w:r>
        <w:rPr>
          <w:b/>
        </w:rPr>
        <w:t xml:space="preserve">Component Breakdown for 18-24 Month Projects</w:t>
      </w:r>
      <w:r>
        <w:t xml:space="preserve">:</w:t>
      </w:r>
      <w:r>
        <w:t xml:space="preserve"> </w:t>
      </w:r>
      <w:r>
        <w:t xml:space="preserve">- Project Management: 5% (vs. 4% for standard)</w:t>
      </w:r>
      <w:r>
        <w:t xml:space="preserve"> </w:t>
      </w:r>
      <w:r>
        <w:t xml:space="preserve">- Design Coordination: 2.5% (vs. 2% for standard)</w:t>
      </w:r>
      <w:r>
        <w:t xml:space="preserve"> </w:t>
      </w:r>
      <w:r>
        <w:t xml:space="preserve">- Permits &amp; Approvals: 2.5% (vs. 2% for standard)</w:t>
      </w:r>
      <w:r>
        <w:t xml:space="preserve"> </w:t>
      </w:r>
      <w:r>
        <w:t xml:space="preserve">- Insurance &amp; Bonds: 2% (unchanged)</w:t>
      </w:r>
      <w:r>
        <w:t xml:space="preserve"> </w:t>
      </w:r>
      <w:r>
        <w:t xml:space="preserve">- Professional Services: 6% (unchanged)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Total</w:t>
      </w:r>
      <w:r>
        <w:t xml:space="preserve">: 17-18% (vs. 15% for standard)</w:t>
      </w:r>
    </w:p>
    <w:p>
      <w:pPr>
        <w:pStyle w:val="Heading3"/>
      </w:pPr>
      <w:bookmarkStart w:id="48" w:name="action-items-for-future-projects-3"/>
      <w:r>
        <w:t xml:space="preserve">Action Items for Future Projects</w:t>
      </w:r>
      <w:bookmarkEnd w:id="48"/>
    </w:p>
    <w:p>
      <w:pPr>
        <w:numPr>
          <w:ilvl w:val="0"/>
          <w:numId w:val="1015"/>
        </w:numPr>
        <w:pStyle w:val="Compact"/>
      </w:pPr>
      <w:r>
        <w:rPr>
          <w:b/>
        </w:rPr>
        <w:t xml:space="preserve">Week 2</w:t>
      </w:r>
      <w:r>
        <w:t xml:space="preserve">: Calculate project duration (months)</w:t>
      </w:r>
    </w:p>
    <w:p>
      <w:pPr>
        <w:numPr>
          <w:ilvl w:val="0"/>
          <w:numId w:val="1015"/>
        </w:numPr>
        <w:pStyle w:val="Compact"/>
      </w:pPr>
      <w:r>
        <w:rPr>
          <w:b/>
        </w:rPr>
        <w:t xml:space="preserve">Week 2</w:t>
      </w:r>
      <w:r>
        <w:t xml:space="preserve">: Apply appropriate soft cost percentage based on duration</w:t>
      </w:r>
    </w:p>
    <w:p>
      <w:pPr>
        <w:numPr>
          <w:ilvl w:val="0"/>
          <w:numId w:val="1015"/>
        </w:numPr>
        <w:pStyle w:val="Compact"/>
      </w:pPr>
      <w:r>
        <w:rPr>
          <w:b/>
        </w:rPr>
        <w:t xml:space="preserve">Week 2</w:t>
      </w:r>
      <w:r>
        <w:t xml:space="preserve">: Validate with project management team</w:t>
      </w:r>
    </w:p>
    <w:p>
      <w:pPr>
        <w:numPr>
          <w:ilvl w:val="0"/>
          <w:numId w:val="1015"/>
        </w:numPr>
        <w:pStyle w:val="Compact"/>
      </w:pPr>
      <w:r>
        <w:rPr>
          <w:b/>
        </w:rPr>
        <w:t xml:space="preserve">Ongoing</w:t>
      </w:r>
      <w:r>
        <w:t xml:space="preserve">: Track actual soft costs for continuous improvement</w:t>
      </w:r>
    </w:p>
    <w:p>
      <w:pPr>
        <w:pStyle w:val="Heading3"/>
      </w:pPr>
      <w:bookmarkStart w:id="49" w:name="evidence-from-advantech-3"/>
      <w:r>
        <w:t xml:space="preserve">Evidence from Advantech</w:t>
      </w:r>
      <w:bookmarkEnd w:id="49"/>
    </w:p>
    <w:p>
      <w:pPr>
        <w:numPr>
          <w:ilvl w:val="0"/>
          <w:numId w:val="1016"/>
        </w:numPr>
        <w:pStyle w:val="Compact"/>
      </w:pPr>
      <w:r>
        <w:t xml:space="preserve">Project Duration: 21 months</w:t>
      </w:r>
    </w:p>
    <w:p>
      <w:pPr>
        <w:numPr>
          <w:ilvl w:val="0"/>
          <w:numId w:val="1016"/>
        </w:numPr>
        <w:pStyle w:val="Compact"/>
      </w:pPr>
      <w:r>
        <w:t xml:space="preserve">Applied Soft Cost %: 15%</w:t>
      </w:r>
    </w:p>
    <w:p>
      <w:pPr>
        <w:numPr>
          <w:ilvl w:val="0"/>
          <w:numId w:val="1016"/>
        </w:numPr>
        <w:pStyle w:val="Compact"/>
      </w:pPr>
      <w:r>
        <w:t xml:space="preserve">Actual Soft Cost %: ~18-20%</w:t>
      </w:r>
    </w:p>
    <w:p>
      <w:pPr>
        <w:numPr>
          <w:ilvl w:val="0"/>
          <w:numId w:val="1016"/>
        </w:numPr>
        <w:pStyle w:val="Compact"/>
      </w:pPr>
      <w:r>
        <w:rPr>
          <w:b/>
        </w:rPr>
        <w:t xml:space="preserve">Lesson</w:t>
      </w:r>
      <w:r>
        <w:t xml:space="preserve">: Extended schedules significantly increase soft costs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50" w:name="X4a180c60b38ae57ef4bee3c6ec9631c45c8fad9"/>
      <w:r>
        <w:t xml:space="preserve">LESSON 5: BASE COSTS MUST BE VALIDATED AGAINST DESIGN COMPLEXITY</w:t>
      </w:r>
      <w:bookmarkEnd w:id="50"/>
    </w:p>
    <w:p>
      <w:pPr>
        <w:pStyle w:val="Heading3"/>
      </w:pPr>
      <w:bookmarkStart w:id="51" w:name="what-we-missed-4"/>
      <w:r>
        <w:t xml:space="preserve">What We Missed</w:t>
      </w:r>
      <w:bookmarkEnd w:id="51"/>
    </w:p>
    <w:p>
      <w:pPr>
        <w:pStyle w:val="FirstParagraph"/>
      </w:pPr>
      <w:r>
        <w:t xml:space="preserve">Our initial base costs were too low ($175/SF for HQ, $100/SF for AASC) without validating against design complexity.</w:t>
      </w:r>
    </w:p>
    <w:p>
      <w:pPr>
        <w:pStyle w:val="Heading3"/>
      </w:pPr>
      <w:bookmarkStart w:id="52" w:name="impact-4"/>
      <w:r>
        <w:t xml:space="preserve">Impact</w:t>
      </w:r>
      <w:bookmarkEnd w:id="52"/>
    </w:p>
    <w:p>
      <w:pPr>
        <w:numPr>
          <w:ilvl w:val="0"/>
          <w:numId w:val="1017"/>
        </w:numPr>
        <w:pStyle w:val="Compact"/>
      </w:pPr>
      <w:r>
        <w:rPr>
          <w:b/>
        </w:rPr>
        <w:t xml:space="preserve">Cost Impact</w:t>
      </w:r>
      <w:r>
        <w:t xml:space="preserve">: Contributed to 44.1% initial underestimation</w:t>
      </w:r>
    </w:p>
    <w:p>
      <w:pPr>
        <w:numPr>
          <w:ilvl w:val="0"/>
          <w:numId w:val="1017"/>
        </w:numPr>
        <w:pStyle w:val="Compact"/>
      </w:pPr>
      <w:r>
        <w:rPr>
          <w:b/>
        </w:rPr>
        <w:t xml:space="preserve">HQ Base Cost</w:t>
      </w:r>
      <w:r>
        <w:t xml:space="preserve">: Used $175/SF, should have been $210-225/SF</w:t>
      </w:r>
    </w:p>
    <w:p>
      <w:pPr>
        <w:numPr>
          <w:ilvl w:val="0"/>
          <w:numId w:val="1017"/>
        </w:numPr>
        <w:pStyle w:val="Compact"/>
      </w:pPr>
      <w:r>
        <w:rPr>
          <w:b/>
        </w:rPr>
        <w:t xml:space="preserve">AASC Base Cost</w:t>
      </w:r>
      <w:r>
        <w:t xml:space="preserve">: Used $100/SF, should have been $130-140/SF</w:t>
      </w:r>
    </w:p>
    <w:p>
      <w:pPr>
        <w:pStyle w:val="Heading3"/>
      </w:pPr>
      <w:bookmarkStart w:id="53" w:name="root-cause-4"/>
      <w:r>
        <w:t xml:space="preserve">Root Cause</w:t>
      </w:r>
      <w:bookmarkEnd w:id="53"/>
    </w:p>
    <w:p>
      <w:pPr>
        <w:numPr>
          <w:ilvl w:val="0"/>
          <w:numId w:val="1018"/>
        </w:numPr>
        <w:pStyle w:val="Compact"/>
      </w:pPr>
      <w:r>
        <w:t xml:space="preserve">We used standard warehouse/office base costs without adjusting for complexity</w:t>
      </w:r>
    </w:p>
    <w:p>
      <w:pPr>
        <w:numPr>
          <w:ilvl w:val="0"/>
          <w:numId w:val="1018"/>
        </w:numPr>
        <w:pStyle w:val="Compact"/>
      </w:pPr>
      <w:r>
        <w:t xml:space="preserve">We did not account for specialized systems (VRF HVAC, ESFR sprinklers, solar)</w:t>
      </w:r>
    </w:p>
    <w:p>
      <w:pPr>
        <w:numPr>
          <w:ilvl w:val="0"/>
          <w:numId w:val="1018"/>
        </w:numPr>
        <w:pStyle w:val="Compact"/>
      </w:pPr>
      <w:r>
        <w:t xml:space="preserve">We did not validate against design documents</w:t>
      </w:r>
    </w:p>
    <w:p>
      <w:pPr>
        <w:pStyle w:val="Heading3"/>
      </w:pPr>
      <w:bookmarkStart w:id="54" w:name="solution-implemented-4"/>
      <w:r>
        <w:t xml:space="preserve">Solution Implemented</w:t>
      </w:r>
      <w:bookmarkEnd w:id="54"/>
    </w:p>
    <w:p>
      <w:pPr>
        <w:pStyle w:val="FirstParagraph"/>
      </w:pPr>
      <w:r>
        <w:rPr>
          <w:b/>
        </w:rPr>
        <w:t xml:space="preserve">Updated Base Cost Guidelines</w:t>
      </w:r>
      <w:r>
        <w:t xml:space="preserve">:</w:t>
      </w:r>
    </w:p>
    <w:p>
      <w:pPr>
        <w:pStyle w:val="BodyText"/>
      </w:pPr>
      <w:r>
        <w:rPr>
          <w:b/>
        </w:rPr>
        <w:t xml:space="preserve">Commercial Office Buildings (6+ Stories)</w:t>
      </w:r>
      <w:r>
        <w:t xml:space="preserve">:</w:t>
      </w:r>
      <w:r>
        <w:t xml:space="preserve"> </w:t>
      </w:r>
      <w:r>
        <w:t xml:space="preserve">- Base Cost/SF: $210-225 (vs. previous $175)</w:t>
      </w:r>
      <w:r>
        <w:t xml:space="preserve"> </w:t>
      </w:r>
      <w:r>
        <w:t xml:space="preserve">- Rationale: Design complexity, full glass curtain wall, VRF HVAC, rooftop solar, ground improvement</w:t>
      </w:r>
    </w:p>
    <w:p>
      <w:pPr>
        <w:pStyle w:val="BodyText"/>
      </w:pPr>
      <w:r>
        <w:rPr>
          <w:b/>
        </w:rPr>
        <w:t xml:space="preserve">High-Bay Warehouses (32+ ft Clear Height)</w:t>
      </w:r>
      <w:r>
        <w:t xml:space="preserve">:</w:t>
      </w:r>
      <w:r>
        <w:t xml:space="preserve"> </w:t>
      </w:r>
      <w:r>
        <w:t xml:space="preserve">- Base Cost/SF: $130-140 (vs. previous $100)</w:t>
      </w:r>
      <w:r>
        <w:t xml:space="preserve"> </w:t>
      </w:r>
      <w:r>
        <w:t xml:space="preserve">- Rationale: High-bay steel structure, ESFR sprinkler system, solar integration, specialized systems</w:t>
      </w:r>
    </w:p>
    <w:p>
      <w:pPr>
        <w:pStyle w:val="Heading3"/>
      </w:pPr>
      <w:bookmarkStart w:id="55" w:name="action-items-for-future-projects-4"/>
      <w:r>
        <w:t xml:space="preserve">Action Items for Future Projects</w:t>
      </w:r>
      <w:bookmarkEnd w:id="55"/>
    </w:p>
    <w:p>
      <w:pPr>
        <w:numPr>
          <w:ilvl w:val="0"/>
          <w:numId w:val="1019"/>
        </w:numPr>
        <w:pStyle w:val="Compact"/>
      </w:pPr>
      <w:r>
        <w:rPr>
          <w:b/>
        </w:rPr>
        <w:t xml:space="preserve">Week 1</w:t>
      </w:r>
      <w:r>
        <w:t xml:space="preserve">: Review design documents for complexity indicators</w:t>
      </w:r>
    </w:p>
    <w:p>
      <w:pPr>
        <w:numPr>
          <w:ilvl w:val="0"/>
          <w:numId w:val="1019"/>
        </w:numPr>
        <w:pStyle w:val="Compact"/>
      </w:pPr>
      <w:r>
        <w:rPr>
          <w:b/>
        </w:rPr>
        <w:t xml:space="preserve">Week 1</w:t>
      </w:r>
      <w:r>
        <w:t xml:space="preserve">: Identify specialized systems (VRF, ESFR, solar, EV charging)</w:t>
      </w:r>
    </w:p>
    <w:p>
      <w:pPr>
        <w:numPr>
          <w:ilvl w:val="0"/>
          <w:numId w:val="1019"/>
        </w:numPr>
        <w:pStyle w:val="Compact"/>
      </w:pPr>
      <w:r>
        <w:rPr>
          <w:b/>
        </w:rPr>
        <w:t xml:space="preserve">Week 1</w:t>
      </w:r>
      <w:r>
        <w:t xml:space="preserve">: Adjust base costs accordingly</w:t>
      </w:r>
    </w:p>
    <w:p>
      <w:pPr>
        <w:numPr>
          <w:ilvl w:val="0"/>
          <w:numId w:val="1019"/>
        </w:numPr>
        <w:pStyle w:val="Compact"/>
      </w:pPr>
      <w:r>
        <w:rPr>
          <w:b/>
        </w:rPr>
        <w:t xml:space="preserve">Week 1</w:t>
      </w:r>
      <w:r>
        <w:t xml:space="preserve">: Validate with GC’s historical project data</w:t>
      </w:r>
    </w:p>
    <w:p>
      <w:pPr>
        <w:pStyle w:val="Heading3"/>
      </w:pPr>
      <w:bookmarkStart w:id="56" w:name="evidence-from-advantech-4"/>
      <w:r>
        <w:t xml:space="preserve">Evidence from Advantech</w:t>
      </w:r>
      <w:bookmarkEnd w:id="56"/>
    </w:p>
    <w:p>
      <w:pPr>
        <w:numPr>
          <w:ilvl w:val="0"/>
          <w:numId w:val="1020"/>
        </w:numPr>
        <w:pStyle w:val="Compact"/>
      </w:pPr>
      <w:r>
        <w:t xml:space="preserve">HQ Design: 6-story, full glass curtain wall, VRF HVAC, rooftop solar</w:t>
      </w:r>
    </w:p>
    <w:p>
      <w:pPr>
        <w:numPr>
          <w:ilvl w:val="0"/>
          <w:numId w:val="1020"/>
        </w:numPr>
        <w:pStyle w:val="Compact"/>
      </w:pPr>
      <w:r>
        <w:t xml:space="preserve">AASC Design: 32-36 ft clear height, ESFR K25.2 sprinkler, 360 KW solar, 3 loading docks</w:t>
      </w:r>
    </w:p>
    <w:p>
      <w:pPr>
        <w:numPr>
          <w:ilvl w:val="0"/>
          <w:numId w:val="1020"/>
        </w:numPr>
        <w:pStyle w:val="Compact"/>
      </w:pPr>
      <w:r>
        <w:t xml:space="preserve">Actual Costs: Supported $210-225/SF (HQ) and $130-140/SF (AASC)</w:t>
      </w:r>
    </w:p>
    <w:p>
      <w:pPr>
        <w:numPr>
          <w:ilvl w:val="0"/>
          <w:numId w:val="1020"/>
        </w:numPr>
        <w:pStyle w:val="Compact"/>
      </w:pPr>
      <w:r>
        <w:rPr>
          <w:b/>
        </w:rPr>
        <w:t xml:space="preserve">Lesson</w:t>
      </w:r>
      <w:r>
        <w:t xml:space="preserve">: Specialized systems significantly increase base costs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57" w:name="summary-updated-estimation-parameters"/>
      <w:r>
        <w:t xml:space="preserve">SUMMARY: UPDATED ESTIMATION PARAMETERS</w:t>
      </w:r>
      <w:bookmarkEnd w:id="57"/>
    </w:p>
    <w:p>
      <w:pPr>
        <w:pStyle w:val="Heading3"/>
      </w:pPr>
      <w:bookmarkStart w:id="58" w:name="Xfd77e5c74918a685539a4d43953002718568d45"/>
      <w:r>
        <w:t xml:space="preserve">For Commercial Office Buildings (6+ Stories)</w:t>
      </w:r>
      <w:bookmarkEnd w:id="58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Previous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Updated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Rationale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Base Cost/SF</w:t>
            </w:r>
          </w:p>
        </w:tc>
        <w:tc>
          <w:p>
            <w:pPr>
              <w:pStyle w:val="Compact"/>
              <w:jc w:val="left"/>
            </w:pPr>
            <w:r>
              <w:t xml:space="preserve">$175</w:t>
            </w:r>
          </w:p>
        </w:tc>
        <w:tc>
          <w:p>
            <w:pPr>
              <w:pStyle w:val="Compact"/>
              <w:jc w:val="left"/>
            </w:pPr>
            <w:r>
              <w:t xml:space="preserve">$210-225</w:t>
            </w:r>
          </w:p>
        </w:tc>
        <w:tc>
          <w:p>
            <w:pPr>
              <w:pStyle w:val="Compact"/>
              <w:jc w:val="left"/>
            </w:pPr>
            <w:r>
              <w:t xml:space="preserve">Design complexity, MEP systems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Labor Multiplier (CA)</w:t>
            </w:r>
          </w:p>
        </w:tc>
        <w:tc>
          <w:p>
            <w:pPr>
              <w:pStyle w:val="Compact"/>
              <w:jc w:val="left"/>
            </w:pPr>
            <w:r>
              <w:t xml:space="preserve">1.18x</w:t>
            </w:r>
          </w:p>
        </w:tc>
        <w:tc>
          <w:p>
            <w:pPr>
              <w:pStyle w:val="Compact"/>
              <w:jc w:val="left"/>
            </w:pPr>
            <w:r>
              <w:t xml:space="preserve">1.22x-1.28x</w:t>
            </w:r>
          </w:p>
        </w:tc>
        <w:tc>
          <w:p>
            <w:pPr>
              <w:pStyle w:val="Compact"/>
              <w:jc w:val="left"/>
            </w:pPr>
            <w:r>
              <w:t xml:space="preserve">Confirm prevailing wage status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Material Escalation (18-24 mo)</w:t>
            </w:r>
          </w:p>
        </w:tc>
        <w:tc>
          <w:p>
            <w:pPr>
              <w:pStyle w:val="Compact"/>
              <w:jc w:val="left"/>
            </w:pPr>
            <w:r>
              <w:t xml:space="preserve">+7%</w:t>
            </w:r>
          </w:p>
        </w:tc>
        <w:tc>
          <w:p>
            <w:pPr>
              <w:pStyle w:val="Compact"/>
              <w:jc w:val="left"/>
            </w:pPr>
            <w:r>
              <w:t xml:space="preserve">+10-12%</w:t>
            </w:r>
          </w:p>
        </w:tc>
        <w:tc>
          <w:p>
            <w:pPr>
              <w:pStyle w:val="Compact"/>
              <w:jc w:val="left"/>
            </w:pPr>
            <w:r>
              <w:t xml:space="preserve">Historical data from Advantech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Soft Cost % (18-24 mo)</w:t>
            </w:r>
          </w:p>
        </w:tc>
        <w:tc>
          <w:p>
            <w:pPr>
              <w:pStyle w:val="Compact"/>
              <w:jc w:val="left"/>
            </w:pPr>
            <w:r>
              <w:t xml:space="preserve">15%</w:t>
            </w:r>
          </w:p>
        </w:tc>
        <w:tc>
          <w:p>
            <w:pPr>
              <w:pStyle w:val="Compact"/>
              <w:jc w:val="left"/>
            </w:pPr>
            <w:r>
              <w:t xml:space="preserve">17-18%</w:t>
            </w:r>
          </w:p>
        </w:tc>
        <w:tc>
          <w:p>
            <w:pPr>
              <w:pStyle w:val="Compact"/>
              <w:jc w:val="left"/>
            </w:pPr>
            <w:r>
              <w:t xml:space="preserve">Extended project management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Change Order Reserve</w:t>
            </w:r>
          </w:p>
        </w:tc>
        <w:tc>
          <w:p>
            <w:pPr>
              <w:pStyle w:val="Compact"/>
              <w:jc w:val="left"/>
            </w:pPr>
            <w:r>
              <w:t xml:space="preserve">0%</w:t>
            </w:r>
          </w:p>
        </w:tc>
        <w:tc>
          <w:p>
            <w:pPr>
              <w:pStyle w:val="Compact"/>
              <w:jc w:val="left"/>
            </w:pPr>
            <w:r>
              <w:t xml:space="preserve">5-8%</w:t>
            </w:r>
          </w:p>
        </w:tc>
        <w:tc>
          <w:p>
            <w:pPr>
              <w:pStyle w:val="Compact"/>
              <w:jc w:val="left"/>
            </w:pPr>
            <w:r>
              <w:t xml:space="preserve">Complex multi-building projects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Total Contingency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13%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18-21%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Includes change order reserve</w:t>
            </w:r>
          </w:p>
        </w:tc>
      </w:tr>
    </w:tbl>
    <w:p>
      <w:pPr>
        <w:pStyle w:val="Heading3"/>
      </w:pPr>
      <w:bookmarkStart w:id="59" w:name="Xc410cf6149decde555a8c61f96bb392baeafba2"/>
      <w:r>
        <w:t xml:space="preserve">For High-Bay Warehouses (32+ ft Clear Height)</w:t>
      </w:r>
      <w:bookmarkEnd w:id="59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Previous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Updated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Rationale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Base Cost/SF</w:t>
            </w:r>
          </w:p>
        </w:tc>
        <w:tc>
          <w:p>
            <w:pPr>
              <w:pStyle w:val="Compact"/>
              <w:jc w:val="left"/>
            </w:pPr>
            <w:r>
              <w:t xml:space="preserve">$100</w:t>
            </w:r>
          </w:p>
        </w:tc>
        <w:tc>
          <w:p>
            <w:pPr>
              <w:pStyle w:val="Compact"/>
              <w:jc w:val="left"/>
            </w:pPr>
            <w:r>
              <w:t xml:space="preserve">$130-140</w:t>
            </w:r>
          </w:p>
        </w:tc>
        <w:tc>
          <w:p>
            <w:pPr>
              <w:pStyle w:val="Compact"/>
              <w:jc w:val="left"/>
            </w:pPr>
            <w:r>
              <w:t xml:space="preserve">High-bay structure, specialized systems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Labor Multiplier (CA)</w:t>
            </w:r>
          </w:p>
        </w:tc>
        <w:tc>
          <w:p>
            <w:pPr>
              <w:pStyle w:val="Compact"/>
              <w:jc w:val="left"/>
            </w:pPr>
            <w:r>
              <w:t xml:space="preserve">1.18x</w:t>
            </w:r>
          </w:p>
        </w:tc>
        <w:tc>
          <w:p>
            <w:pPr>
              <w:pStyle w:val="Compact"/>
              <w:jc w:val="left"/>
            </w:pPr>
            <w:r>
              <w:t xml:space="preserve">1.18x-1.28x</w:t>
            </w:r>
          </w:p>
        </w:tc>
        <w:tc>
          <w:p>
            <w:pPr>
              <w:pStyle w:val="Compact"/>
              <w:jc w:val="left"/>
            </w:pPr>
            <w:r>
              <w:t xml:space="preserve">Confirm prevailing wage status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Material Escalation (18-24 mo)</w:t>
            </w:r>
          </w:p>
        </w:tc>
        <w:tc>
          <w:p>
            <w:pPr>
              <w:pStyle w:val="Compact"/>
              <w:jc w:val="left"/>
            </w:pPr>
            <w:r>
              <w:t xml:space="preserve">+7%</w:t>
            </w:r>
          </w:p>
        </w:tc>
        <w:tc>
          <w:p>
            <w:pPr>
              <w:pStyle w:val="Compact"/>
              <w:jc w:val="left"/>
            </w:pPr>
            <w:r>
              <w:t xml:space="preserve">+10-12%</w:t>
            </w:r>
          </w:p>
        </w:tc>
        <w:tc>
          <w:p>
            <w:pPr>
              <w:pStyle w:val="Compact"/>
              <w:jc w:val="left"/>
            </w:pPr>
            <w:r>
              <w:t xml:space="preserve">Historical data from Advantech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Soft Cost % (18-24 mo)</w:t>
            </w:r>
          </w:p>
        </w:tc>
        <w:tc>
          <w:p>
            <w:pPr>
              <w:pStyle w:val="Compact"/>
              <w:jc w:val="left"/>
            </w:pPr>
            <w:r>
              <w:t xml:space="preserve">15%</w:t>
            </w:r>
          </w:p>
        </w:tc>
        <w:tc>
          <w:p>
            <w:pPr>
              <w:pStyle w:val="Compact"/>
              <w:jc w:val="left"/>
            </w:pPr>
            <w:r>
              <w:t xml:space="preserve">17-18%</w:t>
            </w:r>
          </w:p>
        </w:tc>
        <w:tc>
          <w:p>
            <w:pPr>
              <w:pStyle w:val="Compact"/>
              <w:jc w:val="left"/>
            </w:pPr>
            <w:r>
              <w:t xml:space="preserve">Extended project management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Change Order Reserve</w:t>
            </w:r>
          </w:p>
        </w:tc>
        <w:tc>
          <w:p>
            <w:pPr>
              <w:pStyle w:val="Compact"/>
              <w:jc w:val="left"/>
            </w:pPr>
            <w:r>
              <w:t xml:space="preserve">0%</w:t>
            </w:r>
          </w:p>
        </w:tc>
        <w:tc>
          <w:p>
            <w:pPr>
              <w:pStyle w:val="Compact"/>
              <w:jc w:val="left"/>
            </w:pPr>
            <w:r>
              <w:t xml:space="preserve">3-5%</w:t>
            </w:r>
          </w:p>
        </w:tc>
        <w:tc>
          <w:p>
            <w:pPr>
              <w:pStyle w:val="Compact"/>
              <w:jc w:val="left"/>
            </w:pPr>
            <w:r>
              <w:t xml:space="preserve">Geotechnical unknowns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Total Contingency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12%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15-17%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Includes change order reserve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Heading2"/>
      </w:pPr>
      <w:bookmarkStart w:id="60" w:name="expected-accuracy-improvement"/>
      <w:r>
        <w:t xml:space="preserve">EXPECTED ACCURACY IMPROVEMENT</w:t>
      </w:r>
      <w:bookmarkEnd w:id="60"/>
    </w:p>
    <w:p>
      <w:pPr>
        <w:pStyle w:val="Heading3"/>
      </w:pPr>
      <w:bookmarkStart w:id="61" w:name="previous-performance"/>
      <w:r>
        <w:t xml:space="preserve">Previous Performance</w:t>
      </w:r>
      <w:bookmarkEnd w:id="61"/>
    </w:p>
    <w:p>
      <w:pPr>
        <w:numPr>
          <w:ilvl w:val="0"/>
          <w:numId w:val="1021"/>
        </w:numPr>
        <w:pStyle w:val="Compact"/>
      </w:pPr>
      <w:r>
        <w:t xml:space="preserve">Advantech Initial Estimate: $39.7M (44.1% underestimation)</w:t>
      </w:r>
    </w:p>
    <w:p>
      <w:pPr>
        <w:numPr>
          <w:ilvl w:val="0"/>
          <w:numId w:val="1021"/>
        </w:numPr>
        <w:pStyle w:val="Compact"/>
      </w:pPr>
      <w:r>
        <w:t xml:space="preserve">Advantech Final Estimate: $65.0M (13.8% underestimation)</w:t>
      </w:r>
    </w:p>
    <w:p>
      <w:pPr>
        <w:numPr>
          <w:ilvl w:val="0"/>
          <w:numId w:val="1021"/>
        </w:numPr>
        <w:pStyle w:val="Compact"/>
      </w:pPr>
      <w:r>
        <w:t xml:space="preserve">Target Accuracy: ±5%</w:t>
      </w:r>
    </w:p>
    <w:p>
      <w:pPr>
        <w:pStyle w:val="Heading3"/>
      </w:pPr>
      <w:bookmarkStart w:id="62" w:name="expected-improvement-with-new-parameters"/>
      <w:r>
        <w:t xml:space="preserve">Expected Improvement with New Parameters</w:t>
      </w:r>
      <w:bookmarkEnd w:id="62"/>
    </w:p>
    <w:p>
      <w:pPr>
        <w:numPr>
          <w:ilvl w:val="0"/>
          <w:numId w:val="1022"/>
        </w:numPr>
        <w:pStyle w:val="Compact"/>
      </w:pPr>
      <w:r>
        <w:t xml:space="preserve">With prevailing wage confirmation: -5% to -10% improvement</w:t>
      </w:r>
    </w:p>
    <w:p>
      <w:pPr>
        <w:numPr>
          <w:ilvl w:val="0"/>
          <w:numId w:val="1022"/>
        </w:numPr>
        <w:pStyle w:val="Compact"/>
      </w:pPr>
      <w:r>
        <w:t xml:space="preserve">With material escalation adjustment: -3% to -5% improvement</w:t>
      </w:r>
    </w:p>
    <w:p>
      <w:pPr>
        <w:numPr>
          <w:ilvl w:val="0"/>
          <w:numId w:val="1022"/>
        </w:numPr>
        <w:pStyle w:val="Compact"/>
      </w:pPr>
      <w:r>
        <w:t xml:space="preserve">With change order reserve: -5% to -8% improvement</w:t>
      </w:r>
    </w:p>
    <w:p>
      <w:pPr>
        <w:numPr>
          <w:ilvl w:val="0"/>
          <w:numId w:val="1022"/>
        </w:numPr>
        <w:pStyle w:val="Compact"/>
      </w:pPr>
      <w:r>
        <w:t xml:space="preserve">With soft cost adjustment: -2% to -3% improvement</w:t>
      </w:r>
    </w:p>
    <w:p>
      <w:pPr>
        <w:numPr>
          <w:ilvl w:val="0"/>
          <w:numId w:val="1022"/>
        </w:numPr>
        <w:pStyle w:val="Compact"/>
      </w:pPr>
      <w:r>
        <w:rPr>
          <w:b/>
        </w:rPr>
        <w:t xml:space="preserve">Expected new accuracy range</w:t>
      </w:r>
      <w:r>
        <w:t xml:space="preserve">: ±5-8% (vs. previous 13.8%)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63" w:name="implementation-roadmap"/>
      <w:r>
        <w:t xml:space="preserve">IMPLEMENTATION ROADMAP</w:t>
      </w:r>
      <w:bookmarkEnd w:id="63"/>
    </w:p>
    <w:p>
      <w:pPr>
        <w:pStyle w:val="Heading3"/>
      </w:pPr>
      <w:bookmarkStart w:id="64" w:name="phase-1-immediate-this-week"/>
      <w:r>
        <w:t xml:space="preserve">Phase 1: Immediate (This Week)</w:t>
      </w:r>
      <w:bookmarkEnd w:id="64"/>
    </w:p>
    <w:p>
      <w:pPr>
        <w:numPr>
          <w:ilvl w:val="0"/>
          <w:numId w:val="1023"/>
        </w:numPr>
        <w:pStyle w:val="Compact"/>
      </w:pPr>
      <w:r>
        <w:t xml:space="preserve">✓ Document 5 lessons learned</w:t>
      </w:r>
    </w:p>
    <w:p>
      <w:pPr>
        <w:numPr>
          <w:ilvl w:val="0"/>
          <w:numId w:val="1023"/>
        </w:numPr>
        <w:pStyle w:val="Compact"/>
      </w:pPr>
      <w:r>
        <w:t xml:space="preserve">✓ Update ACCE-V3 system instruction with new Prevailing Wage Rule</w:t>
      </w:r>
    </w:p>
    <w:p>
      <w:pPr>
        <w:numPr>
          <w:ilvl w:val="0"/>
          <w:numId w:val="1023"/>
        </w:numPr>
        <w:pStyle w:val="Compact"/>
      </w:pPr>
      <w:r>
        <w:t xml:space="preserve">✓ Update warehouse knowledge prompt with 4 new sections</w:t>
      </w:r>
    </w:p>
    <w:p>
      <w:pPr>
        <w:numPr>
          <w:ilvl w:val="0"/>
          <w:numId w:val="1023"/>
        </w:numPr>
        <w:pStyle w:val="Compact"/>
      </w:pPr>
      <w:r>
        <w:t xml:space="preserve">✓ Create improved estimation model with updated parameters</w:t>
      </w:r>
    </w:p>
    <w:p>
      <w:pPr>
        <w:pStyle w:val="Heading3"/>
      </w:pPr>
      <w:bookmarkStart w:id="65" w:name="phase-2-short-term-next-2-weeks"/>
      <w:r>
        <w:t xml:space="preserve">Phase 2: Short-term (Next 2 Weeks)</w:t>
      </w:r>
      <w:bookmarkEnd w:id="65"/>
    </w:p>
    <w:p>
      <w:pPr>
        <w:numPr>
          <w:ilvl w:val="0"/>
          <w:numId w:val="1024"/>
        </w:numPr>
        <w:pStyle w:val="Compact"/>
      </w:pPr>
      <w:r>
        <w:t xml:space="preserve">Create healthcare knowledge prompt v2.0 (with lessons learned)</w:t>
      </w:r>
    </w:p>
    <w:p>
      <w:pPr>
        <w:numPr>
          <w:ilvl w:val="0"/>
          <w:numId w:val="1024"/>
        </w:numPr>
        <w:pStyle w:val="Compact"/>
      </w:pPr>
      <w:r>
        <w:t xml:space="preserve">Create commercial office knowledge prompt v1.0</w:t>
      </w:r>
    </w:p>
    <w:p>
      <w:pPr>
        <w:numPr>
          <w:ilvl w:val="0"/>
          <w:numId w:val="1024"/>
        </w:numPr>
        <w:pStyle w:val="Compact"/>
      </w:pPr>
      <w:r>
        <w:t xml:space="preserve">Update LAYER 1 calculation engine with material escalation &amp; schedule impact models</w:t>
      </w:r>
    </w:p>
    <w:p>
      <w:pPr>
        <w:numPr>
          <w:ilvl w:val="0"/>
          <w:numId w:val="1024"/>
        </w:numPr>
        <w:pStyle w:val="Compact"/>
      </w:pPr>
      <w:r>
        <w:t xml:space="preserve">Test updated system with sample projects</w:t>
      </w:r>
    </w:p>
    <w:p>
      <w:pPr>
        <w:pStyle w:val="Heading3"/>
      </w:pPr>
      <w:bookmarkStart w:id="66" w:name="phase-3-medium-term-next-month"/>
      <w:r>
        <w:t xml:space="preserve">Phase 3: Medium-term (Next Month)</w:t>
      </w:r>
      <w:bookmarkEnd w:id="66"/>
    </w:p>
    <w:p>
      <w:pPr>
        <w:numPr>
          <w:ilvl w:val="0"/>
          <w:numId w:val="1025"/>
        </w:numPr>
        <w:pStyle w:val="Compact"/>
      </w:pPr>
      <w:r>
        <w:t xml:space="preserve">Develop automated prevailing wage lookup by ZIP code</w:t>
      </w:r>
    </w:p>
    <w:p>
      <w:pPr>
        <w:numPr>
          <w:ilvl w:val="0"/>
          <w:numId w:val="1025"/>
        </w:numPr>
        <w:pStyle w:val="Compact"/>
      </w:pPr>
      <w:r>
        <w:t xml:space="preserve">Implement quarterly material escalation tracking</w:t>
      </w:r>
    </w:p>
    <w:p>
      <w:pPr>
        <w:numPr>
          <w:ilvl w:val="0"/>
          <w:numId w:val="1025"/>
        </w:numPr>
        <w:pStyle w:val="Compact"/>
      </w:pPr>
      <w:r>
        <w:t xml:space="preserve">Create change order risk assessment tool</w:t>
      </w:r>
    </w:p>
    <w:p>
      <w:pPr>
        <w:numPr>
          <w:ilvl w:val="0"/>
          <w:numId w:val="1025"/>
        </w:numPr>
        <w:pStyle w:val="Compact"/>
      </w:pPr>
      <w:r>
        <w:t xml:space="preserve">Establish feedback loop for continuous improvement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67" w:name="recommendations-for-future-projects"/>
      <w:r>
        <w:t xml:space="preserve">RECOMMENDATIONS FOR FUTURE PROJECTS</w:t>
      </w:r>
      <w:bookmarkEnd w:id="67"/>
    </w:p>
    <w:p>
      <w:pPr>
        <w:pStyle w:val="Heading3"/>
      </w:pPr>
      <w:bookmarkStart w:id="68" w:name="week-1---initial-validation"/>
      <w:r>
        <w:t xml:space="preserve">Week 1 - Initial Validation</w:t>
      </w:r>
      <w:bookmarkEnd w:id="68"/>
    </w:p>
    <w:p>
      <w:pPr>
        <w:numPr>
          <w:ilvl w:val="0"/>
          <w:numId w:val="1026"/>
        </w:numPr>
        <w:pStyle w:val="Compact"/>
      </w:pPr>
      <w:r>
        <w:t xml:space="preserve">☐ Confirm prevailing wage status (CRITICAL)</w:t>
      </w:r>
    </w:p>
    <w:p>
      <w:pPr>
        <w:numPr>
          <w:ilvl w:val="0"/>
          <w:numId w:val="1026"/>
        </w:numPr>
        <w:pStyle w:val="Compact"/>
      </w:pPr>
      <w:r>
        <w:t xml:space="preserve">☐ Validate base costs against design complexity</w:t>
      </w:r>
    </w:p>
    <w:p>
      <w:pPr>
        <w:numPr>
          <w:ilvl w:val="0"/>
          <w:numId w:val="1026"/>
        </w:numPr>
        <w:pStyle w:val="Compact"/>
      </w:pPr>
      <w:r>
        <w:t xml:space="preserve">☐ Confirm project location and regional factors</w:t>
      </w:r>
    </w:p>
    <w:p>
      <w:pPr>
        <w:numPr>
          <w:ilvl w:val="0"/>
          <w:numId w:val="1026"/>
        </w:numPr>
        <w:pStyle w:val="Compact"/>
      </w:pPr>
      <w:r>
        <w:t xml:space="preserve">☐ Determine project duration</w:t>
      </w:r>
    </w:p>
    <w:p>
      <w:pPr>
        <w:pStyle w:val="Heading3"/>
      </w:pPr>
      <w:bookmarkStart w:id="69" w:name="week-2---site-assessment-risk-assessment"/>
      <w:r>
        <w:t xml:space="preserve">Week 2 - Site Assessment &amp; Risk Assessment</w:t>
      </w:r>
      <w:bookmarkEnd w:id="69"/>
    </w:p>
    <w:p>
      <w:pPr>
        <w:numPr>
          <w:ilvl w:val="0"/>
          <w:numId w:val="1027"/>
        </w:numPr>
        <w:pStyle w:val="Compact"/>
      </w:pPr>
      <w:r>
        <w:t xml:space="preserve">☐ Assess material escalation risk by duration</w:t>
      </w:r>
    </w:p>
    <w:p>
      <w:pPr>
        <w:numPr>
          <w:ilvl w:val="0"/>
          <w:numId w:val="1027"/>
        </w:numPr>
        <w:pStyle w:val="Compact"/>
      </w:pPr>
      <w:r>
        <w:t xml:space="preserve">☐ Assess change order risk by complexity</w:t>
      </w:r>
    </w:p>
    <w:p>
      <w:pPr>
        <w:numPr>
          <w:ilvl w:val="0"/>
          <w:numId w:val="1027"/>
        </w:numPr>
        <w:pStyle w:val="Compact"/>
      </w:pPr>
      <w:r>
        <w:t xml:space="preserve">☐ Adjust soft costs for schedule</w:t>
      </w:r>
    </w:p>
    <w:p>
      <w:pPr>
        <w:numPr>
          <w:ilvl w:val="0"/>
          <w:numId w:val="1027"/>
        </w:numPr>
        <w:pStyle w:val="Compact"/>
      </w:pPr>
      <w:r>
        <w:t xml:space="preserve">☐ Validate with GC’s historical data</w:t>
      </w:r>
    </w:p>
    <w:p>
      <w:pPr>
        <w:pStyle w:val="Heading3"/>
      </w:pPr>
      <w:bookmarkStart w:id="70" w:name="week-3---preliminary-estimate"/>
      <w:r>
        <w:t xml:space="preserve">Week 3 - Preliminary Estimate</w:t>
      </w:r>
      <w:bookmarkEnd w:id="70"/>
    </w:p>
    <w:p>
      <w:pPr>
        <w:numPr>
          <w:ilvl w:val="0"/>
          <w:numId w:val="1028"/>
        </w:numPr>
        <w:pStyle w:val="Compact"/>
      </w:pPr>
      <w:r>
        <w:t xml:space="preserve">☐ Execute Sanity Check Protocol</w:t>
      </w:r>
    </w:p>
    <w:p>
      <w:pPr>
        <w:numPr>
          <w:ilvl w:val="0"/>
          <w:numId w:val="1028"/>
        </w:numPr>
        <w:pStyle w:val="Compact"/>
      </w:pPr>
      <w:r>
        <w:t xml:space="preserve">☐ Present estimate with all assumptions</w:t>
      </w:r>
    </w:p>
    <w:p>
      <w:pPr>
        <w:numPr>
          <w:ilvl w:val="0"/>
          <w:numId w:val="1028"/>
        </w:numPr>
        <w:pStyle w:val="Compact"/>
      </w:pPr>
      <w:r>
        <w:t xml:space="preserve">☐ Get GC feedback on key uncertainties</w:t>
      </w:r>
    </w:p>
    <w:p>
      <w:pPr>
        <w:numPr>
          <w:ilvl w:val="0"/>
          <w:numId w:val="1028"/>
        </w:numPr>
        <w:pStyle w:val="Compact"/>
      </w:pPr>
      <w:r>
        <w:t xml:space="preserve">☐ Refine based on feedback</w:t>
      </w:r>
    </w:p>
    <w:p>
      <w:pPr>
        <w:pStyle w:val="Heading3"/>
      </w:pPr>
      <w:bookmarkStart w:id="71" w:name="week-4---detailed-refinement"/>
      <w:r>
        <w:t xml:space="preserve">Week 4 - Detailed Refinement</w:t>
      </w:r>
      <w:bookmarkEnd w:id="71"/>
    </w:p>
    <w:p>
      <w:pPr>
        <w:numPr>
          <w:ilvl w:val="0"/>
          <w:numId w:val="1029"/>
        </w:numPr>
        <w:pStyle w:val="Compact"/>
      </w:pPr>
      <w:r>
        <w:t xml:space="preserve">☐ Present detailed BOQ</w:t>
      </w:r>
    </w:p>
    <w:p>
      <w:pPr>
        <w:numPr>
          <w:ilvl w:val="0"/>
          <w:numId w:val="1029"/>
        </w:numPr>
        <w:pStyle w:val="Compact"/>
      </w:pPr>
      <w:r>
        <w:t xml:space="preserve">☐ Identify high-uncertainty items</w:t>
      </w:r>
    </w:p>
    <w:p>
      <w:pPr>
        <w:numPr>
          <w:ilvl w:val="0"/>
          <w:numId w:val="1029"/>
        </w:numPr>
        <w:pStyle w:val="Compact"/>
      </w:pPr>
      <w:r>
        <w:t xml:space="preserve">☐ Get GC input on specific line items</w:t>
      </w:r>
    </w:p>
    <w:p>
      <w:pPr>
        <w:numPr>
          <w:ilvl w:val="0"/>
          <w:numId w:val="1029"/>
        </w:numPr>
        <w:pStyle w:val="Compact"/>
      </w:pPr>
      <w:r>
        <w:t xml:space="preserve">☐ Finalize estimate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72" w:name="conclusion"/>
      <w:r>
        <w:t xml:space="preserve">CONCLUSION</w:t>
      </w:r>
      <w:bookmarkEnd w:id="72"/>
    </w:p>
    <w:p>
      <w:pPr>
        <w:pStyle w:val="FirstParagraph"/>
      </w:pPr>
      <w:r>
        <w:t xml:space="preserve">The Advantech North America Campus project provided invaluable lessons for improving the ACCE-V3 estimation system. By implementing the five lessons learned and updating our estimation parameters, we can achieve our ±5% accuracy target for future projects.</w:t>
      </w:r>
    </w:p>
    <w:p>
      <w:pPr>
        <w:pStyle w:val="BodyText"/>
      </w:pPr>
      <w:r>
        <w:rPr>
          <w:b/>
        </w:rPr>
        <w:t xml:space="preserve">Most Critical Takeaway</w:t>
      </w:r>
      <w:r>
        <w:t xml:space="preserve">: The three factors that had the largest impact on our underestimation were:</w:t>
      </w:r>
      <w:r>
        <w:t xml:space="preserve"> </w:t>
      </w:r>
      <w:r>
        <w:t xml:space="preserve">1.</w:t>
      </w:r>
      <w:r>
        <w:t xml:space="preserve"> </w:t>
      </w:r>
      <w:r>
        <w:rPr>
          <w:b/>
        </w:rPr>
        <w:t xml:space="preserve">Not confirming prevailing wage status</w:t>
      </w:r>
      <w:r>
        <w:t xml:space="preserve"> </w:t>
      </w:r>
      <w:r>
        <w:t xml:space="preserve">(21.9% of variance)</w:t>
      </w:r>
      <w:r>
        <w:t xml:space="preserve"> </w:t>
      </w:r>
      <w:r>
        <w:t xml:space="preserve">2.</w:t>
      </w:r>
      <w:r>
        <w:t xml:space="preserve"> </w:t>
      </w:r>
      <w:r>
        <w:rPr>
          <w:b/>
        </w:rPr>
        <w:t xml:space="preserve">Underestimating material escalation</w:t>
      </w:r>
      <w:r>
        <w:t xml:space="preserve"> </w:t>
      </w:r>
      <w:r>
        <w:t xml:space="preserve">(19.1% of variance)</w:t>
      </w:r>
      <w:r>
        <w:t xml:space="preserve"> </w:t>
      </w:r>
      <w:r>
        <w:t xml:space="preserve">3.</w:t>
      </w:r>
      <w:r>
        <w:t xml:space="preserve"> </w:t>
      </w:r>
      <w:r>
        <w:rPr>
          <w:b/>
        </w:rPr>
        <w:t xml:space="preserve">Not reserving for change orders</w:t>
      </w:r>
      <w:r>
        <w:t xml:space="preserve"> </w:t>
      </w:r>
      <w:r>
        <w:t xml:space="preserve">(40.8% of variance)</w:t>
      </w:r>
    </w:p>
    <w:p>
      <w:pPr>
        <w:pStyle w:val="BodyText"/>
      </w:pPr>
      <w:r>
        <w:t xml:space="preserve">By addressing these three factors alone, we can improve accuracy by approximately 80% of the observed variance.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</w:rPr>
        <w:t xml:space="preserve">Document Prepared</w:t>
      </w:r>
      <w:r>
        <w:t xml:space="preserve">: January 31, 2026</w:t>
      </w:r>
      <w:r>
        <w:br/>
      </w:r>
      <w:r>
        <w:rPr>
          <w:b/>
        </w:rPr>
        <w:t xml:space="preserve">System</w:t>
      </w:r>
      <w:r>
        <w:t xml:space="preserve">: ACCE-V3 Estimation Engine</w:t>
      </w:r>
      <w:r>
        <w:br/>
      </w:r>
      <w:r>
        <w:rPr>
          <w:b/>
        </w:rPr>
        <w:t xml:space="preserve">Status</w:t>
      </w:r>
      <w:r>
        <w:t xml:space="preserve">: FINAL - Ready for Implementation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abstractNum w:abstractNumId="99411">
    <w:nsid w:val="71315dca"/>
    <w:multiLevelType w:val="multilevel"/>
    <w:lvl w:ilvl="0">
      <w:start w:val="1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1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1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1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1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1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1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1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2026-01-31T02:52:16Z</dcterms:created>
  <dcterms:modified xsi:type="dcterms:W3CDTF">2026-01-31T02:52:16Z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