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E4BFB" w14:textId="6A980998" w:rsidR="00765537" w:rsidRPr="00EA143C" w:rsidRDefault="00E46300" w:rsidP="0076553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ACIRV PARTICIPA</w:t>
      </w:r>
      <w:r w:rsidR="00765537" w:rsidRPr="00765537">
        <w:rPr>
          <w:rFonts w:ascii="Arial" w:hAnsi="Arial" w:cs="Arial"/>
          <w:sz w:val="24"/>
          <w:szCs w:val="24"/>
        </w:rPr>
        <w:t xml:space="preserve"> DE AUDIÊNCIA PÚBLICA PROMOVIDA PELA ALEGO </w:t>
      </w:r>
      <w:r w:rsidR="00765537" w:rsidRPr="00EA143C">
        <w:rPr>
          <w:rFonts w:ascii="Arial" w:hAnsi="Arial" w:cs="Arial"/>
          <w:sz w:val="24"/>
          <w:szCs w:val="24"/>
        </w:rPr>
        <w:t>SOBRE A LOA (LEI ORÇAMENTÁRIA ANUAL) DE GOIÁS PARA 2022</w:t>
      </w:r>
    </w:p>
    <w:p w14:paraId="5702B8D5" w14:textId="360BA425" w:rsidR="00B637F0" w:rsidRPr="00EA143C" w:rsidRDefault="00E46300" w:rsidP="00B637F0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143C">
        <w:rPr>
          <w:rFonts w:ascii="Arial" w:hAnsi="Arial" w:cs="Arial"/>
          <w:sz w:val="24"/>
          <w:szCs w:val="24"/>
        </w:rPr>
        <w:t>Na última</w:t>
      </w:r>
      <w:r w:rsidR="00765537" w:rsidRPr="00EA143C">
        <w:rPr>
          <w:rFonts w:ascii="Arial" w:hAnsi="Arial" w:cs="Arial"/>
          <w:sz w:val="24"/>
          <w:szCs w:val="24"/>
        </w:rPr>
        <w:t xml:space="preserve"> quinta-feira (18), </w:t>
      </w:r>
      <w:r w:rsidRPr="00EA143C">
        <w:rPr>
          <w:rFonts w:ascii="Arial" w:hAnsi="Arial" w:cs="Arial"/>
          <w:sz w:val="24"/>
          <w:szCs w:val="24"/>
        </w:rPr>
        <w:t>a ACIRV participou da</w:t>
      </w:r>
      <w:r w:rsidR="00765537" w:rsidRPr="00EA143C">
        <w:rPr>
          <w:rFonts w:ascii="Arial" w:hAnsi="Arial" w:cs="Arial"/>
          <w:sz w:val="24"/>
          <w:szCs w:val="24"/>
        </w:rPr>
        <w:t xml:space="preserve"> 5ª Audiência Pública realizada pela ALEGO onde foram debatidos pontos da Lei Orçamentária Anual de 2022 do Estado de Goiás. </w:t>
      </w:r>
      <w:r w:rsidRPr="00EA143C">
        <w:rPr>
          <w:rFonts w:ascii="Arial" w:hAnsi="Arial" w:cs="Arial"/>
          <w:sz w:val="24"/>
          <w:szCs w:val="24"/>
        </w:rPr>
        <w:t>O diretor financeiro Diego Modolo Ribeiro</w:t>
      </w:r>
      <w:r w:rsidR="00B637F0" w:rsidRPr="00EA143C">
        <w:rPr>
          <w:rFonts w:ascii="Arial" w:hAnsi="Arial" w:cs="Arial"/>
          <w:sz w:val="24"/>
          <w:szCs w:val="24"/>
        </w:rPr>
        <w:t>, representou a instituição na</w:t>
      </w:r>
      <w:r w:rsidR="00765537" w:rsidRPr="00EA143C">
        <w:rPr>
          <w:rFonts w:ascii="Arial" w:hAnsi="Arial" w:cs="Arial"/>
          <w:sz w:val="24"/>
          <w:szCs w:val="24"/>
        </w:rPr>
        <w:t xml:space="preserve"> audiência</w:t>
      </w:r>
      <w:r w:rsidR="00B637F0" w:rsidRPr="00EA143C">
        <w:rPr>
          <w:rFonts w:ascii="Arial" w:hAnsi="Arial" w:cs="Arial"/>
          <w:sz w:val="24"/>
          <w:szCs w:val="24"/>
        </w:rPr>
        <w:t xml:space="preserve"> e r</w:t>
      </w:r>
      <w:r w:rsidR="00B637F0" w:rsidRPr="00EA143C">
        <w:rPr>
          <w:rFonts w:ascii="Arial" w:hAnsi="Arial" w:cs="Arial"/>
          <w:sz w:val="24"/>
          <w:szCs w:val="24"/>
        </w:rPr>
        <w:t>equisitou a finalização do trecho da GO-210 entre a saída para Montividiu e a entrada do anel viário, inform</w:t>
      </w:r>
      <w:r w:rsidR="00B637F0" w:rsidRPr="00EA143C">
        <w:rPr>
          <w:rFonts w:ascii="Arial" w:hAnsi="Arial" w:cs="Arial"/>
          <w:sz w:val="24"/>
          <w:szCs w:val="24"/>
        </w:rPr>
        <w:t>ando</w:t>
      </w:r>
      <w:r w:rsidR="00B637F0" w:rsidRPr="00EA143C">
        <w:rPr>
          <w:rFonts w:ascii="Arial" w:hAnsi="Arial" w:cs="Arial"/>
          <w:sz w:val="24"/>
          <w:szCs w:val="24"/>
        </w:rPr>
        <w:t xml:space="preserve"> aos </w:t>
      </w:r>
      <w:r w:rsidR="00B637F0" w:rsidRPr="00EA143C">
        <w:rPr>
          <w:rFonts w:ascii="Arial" w:hAnsi="Arial" w:cs="Arial"/>
          <w:sz w:val="24"/>
          <w:szCs w:val="24"/>
        </w:rPr>
        <w:t>presentes</w:t>
      </w:r>
      <w:r w:rsidR="00B637F0" w:rsidRPr="00EA143C">
        <w:rPr>
          <w:rFonts w:ascii="Arial" w:hAnsi="Arial" w:cs="Arial"/>
          <w:sz w:val="24"/>
          <w:szCs w:val="24"/>
        </w:rPr>
        <w:t xml:space="preserve"> que o projeto para a duplicação foi custeado pela </w:t>
      </w:r>
      <w:r w:rsidR="00B637F0" w:rsidRPr="00EA143C">
        <w:rPr>
          <w:rFonts w:ascii="Arial" w:hAnsi="Arial" w:cs="Arial"/>
          <w:sz w:val="24"/>
          <w:szCs w:val="24"/>
        </w:rPr>
        <w:t xml:space="preserve">ACIRV </w:t>
      </w:r>
      <w:r w:rsidR="00B637F0" w:rsidRPr="00EA143C">
        <w:rPr>
          <w:rFonts w:ascii="Arial" w:hAnsi="Arial" w:cs="Arial"/>
          <w:sz w:val="24"/>
          <w:szCs w:val="24"/>
        </w:rPr>
        <w:t>e empresários parceiros</w:t>
      </w:r>
      <w:r w:rsidR="00E047C1" w:rsidRPr="00EA143C">
        <w:rPr>
          <w:rFonts w:ascii="Arial" w:hAnsi="Arial" w:cs="Arial"/>
          <w:sz w:val="24"/>
          <w:szCs w:val="24"/>
        </w:rPr>
        <w:t>, e</w:t>
      </w:r>
      <w:r w:rsidR="00B637F0" w:rsidRPr="00EA143C">
        <w:rPr>
          <w:rFonts w:ascii="Arial" w:hAnsi="Arial" w:cs="Arial"/>
          <w:sz w:val="24"/>
          <w:szCs w:val="24"/>
        </w:rPr>
        <w:t xml:space="preserve"> requisit</w:t>
      </w:r>
      <w:r w:rsidR="00E047C1" w:rsidRPr="00EA143C">
        <w:rPr>
          <w:rFonts w:ascii="Arial" w:hAnsi="Arial" w:cs="Arial"/>
          <w:sz w:val="24"/>
          <w:szCs w:val="24"/>
        </w:rPr>
        <w:t>ou também</w:t>
      </w:r>
      <w:r w:rsidR="00B637F0" w:rsidRPr="00EA143C">
        <w:rPr>
          <w:rFonts w:ascii="Arial" w:hAnsi="Arial" w:cs="Arial"/>
          <w:sz w:val="24"/>
          <w:szCs w:val="24"/>
        </w:rPr>
        <w:t xml:space="preserve"> o asfaltamento da GO-401, na região do Rio Preto.</w:t>
      </w:r>
    </w:p>
    <w:p w14:paraId="0EE1E52E" w14:textId="1E79AB88" w:rsidR="00765537" w:rsidRPr="00765537" w:rsidRDefault="00765537" w:rsidP="0076553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143C">
        <w:rPr>
          <w:rFonts w:ascii="Arial" w:hAnsi="Arial" w:cs="Arial"/>
          <w:sz w:val="24"/>
          <w:szCs w:val="24"/>
        </w:rPr>
        <w:t>Ao discorrer sobre o projeto da LOA para 2022,</w:t>
      </w:r>
      <w:r w:rsidRPr="00EA143C">
        <w:rPr>
          <w:rFonts w:ascii="Arial" w:hAnsi="Arial" w:cs="Arial"/>
          <w:sz w:val="24"/>
          <w:szCs w:val="24"/>
        </w:rPr>
        <w:t xml:space="preserve"> o </w:t>
      </w:r>
      <w:r w:rsidRPr="00EA143C">
        <w:rPr>
          <w:rFonts w:ascii="Tahoma" w:hAnsi="Tahoma" w:cs="Tahoma"/>
          <w:sz w:val="25"/>
          <w:szCs w:val="25"/>
        </w:rPr>
        <w:t>gerente de Elaboração Orçamentária da Secretaria de Estado da Economia</w:t>
      </w:r>
      <w:r w:rsidRPr="00EA143C">
        <w:rPr>
          <w:rFonts w:ascii="Arial" w:hAnsi="Arial" w:cs="Arial"/>
          <w:sz w:val="24"/>
          <w:szCs w:val="24"/>
        </w:rPr>
        <w:t xml:space="preserve"> </w:t>
      </w:r>
      <w:r w:rsidRPr="00EA143C">
        <w:rPr>
          <w:rFonts w:ascii="Tahoma" w:hAnsi="Tahoma" w:cs="Tahoma"/>
          <w:sz w:val="25"/>
          <w:szCs w:val="25"/>
        </w:rPr>
        <w:t xml:space="preserve">Pedro Henrique da Silva </w:t>
      </w:r>
      <w:r>
        <w:rPr>
          <w:rFonts w:ascii="Tahoma" w:hAnsi="Tahoma" w:cs="Tahoma"/>
          <w:color w:val="333333"/>
          <w:sz w:val="25"/>
          <w:szCs w:val="25"/>
        </w:rPr>
        <w:t>Nogueira</w:t>
      </w:r>
      <w:r w:rsidRPr="00765537">
        <w:rPr>
          <w:rFonts w:ascii="Arial" w:hAnsi="Arial" w:cs="Arial"/>
          <w:sz w:val="24"/>
          <w:szCs w:val="24"/>
        </w:rPr>
        <w:t xml:space="preserve">, explicou que a lei estima a receita e fixa a despesa para um exercício financeiro, sendo que a receita estimada é de cerca de R$ 38 bilhões e despesas estão previstas na casa dos R$ 32 bilhões. Explicou que a determinação do Governo é aplicar os recursos em áreas importantes como Saúde, Educação e Previdência. </w:t>
      </w:r>
    </w:p>
    <w:p w14:paraId="17F643EA" w14:textId="56D9C82B" w:rsidR="00765537" w:rsidRPr="00765537" w:rsidRDefault="00765537" w:rsidP="0076553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765537" w:rsidRPr="00765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E5"/>
    <w:rsid w:val="003C3049"/>
    <w:rsid w:val="00765537"/>
    <w:rsid w:val="008103B2"/>
    <w:rsid w:val="009B4455"/>
    <w:rsid w:val="00B637F0"/>
    <w:rsid w:val="00B9359E"/>
    <w:rsid w:val="00CB114F"/>
    <w:rsid w:val="00D963E5"/>
    <w:rsid w:val="00E047C1"/>
    <w:rsid w:val="00E46300"/>
    <w:rsid w:val="00EA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D6C81"/>
  <w15:chartTrackingRefBased/>
  <w15:docId w15:val="{5518708E-F7DB-48F1-B6F3-DEB5C8E7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963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700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2</cp:revision>
  <dcterms:created xsi:type="dcterms:W3CDTF">2021-11-22T13:16:00Z</dcterms:created>
  <dcterms:modified xsi:type="dcterms:W3CDTF">2021-11-22T13:16:00Z</dcterms:modified>
</cp:coreProperties>
</file>