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5E20"/>
          <w:sz w:val="52"/>
          <w:szCs w:val="52"/>
        </w:rPr>
        <w:t xml:space="preserve">MOUNT BREVITOR ESTATE</w:t>
      </w:r>
    </w:p>
    <w:p>
      <w:pPr>
        <w:spacing w:after="100"/>
        <w:jc w:val="center"/>
      </w:pPr>
      <w:r>
        <w:rPr>
          <w:rFonts w:ascii="Arial" w:cs="Arial" w:eastAsia="Arial" w:hAnsi="Arial"/>
          <w:color w:val="666666"/>
          <w:sz w:val="24"/>
          <w:szCs w:val="24"/>
        </w:rPr>
        <w:t xml:space="preserve">120-Acre Integrated Estate  |  Northern Barbados</w:t>
      </w:r>
    </w:p>
    <w:p>
      <w:pPr>
        <w:pBdr>
          <w:bottom w:val="single" w:color="B8860B" w:sz="6" w:space="20"/>
        </w:pBdr>
        <w:spacing w:after="600"/>
        <w:jc w:val="center"/>
      </w:pPr>
      <w:r>
        <w:rPr>
          <w:rFonts w:ascii="Arial" w:cs="Arial" w:eastAsia="Arial" w:hAnsi="Arial"/>
          <w:color w:val="2E7D32"/>
          <w:sz w:val="22"/>
          <w:szCs w:val="22"/>
        </w:rPr>
        <w:t xml:space="preserve">Residential  |  Agri-Estate  |  Entertainment Golf  |  Green Infrastructure</w:t>
      </w:r>
    </w:p>
    <w:p>
      <w:pPr>
        <w:spacing w:after="400"/>
      </w:pPr>
    </w:p>
    <w:p>
      <w:pPr>
        <w:spacing w:after="200"/>
        <w:jc w:val="center"/>
      </w:pPr>
      <w:r>
        <w:rPr>
          <w:rFonts w:ascii="Arial" w:cs="Arial" w:eastAsia="Arial" w:hAnsi="Arial"/>
          <w:b/>
          <w:bCs/>
          <w:color w:val="000000"/>
          <w:sz w:val="40"/>
          <w:szCs w:val="40"/>
        </w:rPr>
        <w:t xml:space="preserve">INVESTMENT MEMORANDUM</w:t>
      </w:r>
    </w:p>
    <w:p>
      <w:pPr>
        <w:spacing w:after="100"/>
        <w:jc w:val="center"/>
      </w:pPr>
      <w:r>
        <w:rPr>
          <w:rFonts w:ascii="Arial" w:cs="Arial" w:eastAsia="Arial" w:hAnsi="Arial"/>
          <w:color w:val="666666"/>
          <w:sz w:val="22"/>
          <w:szCs w:val="22"/>
        </w:rPr>
        <w:t xml:space="preserve">Workstream E  |  Document v2.0  |  March 2025</w:t>
      </w:r>
    </w:p>
    <w:p>
      <w:pPr>
        <w:spacing w:after="100"/>
        <w:jc w:val="center"/>
      </w:pPr>
      <w:r>
        <w:rPr>
          <w:rFonts w:ascii="Arial" w:cs="Arial" w:eastAsia="Arial" w:hAnsi="Arial"/>
          <w:b/>
          <w:bCs/>
          <w:color w:val="B8860B"/>
          <w:sz w:val="22"/>
          <w:szCs w:val="22"/>
        </w:rPr>
        <w:t xml:space="preserve">CONFIDENTIAL</w:t>
      </w:r>
    </w:p>
    <w:p>
      <w:pPr>
        <w:spacing w:after="2000"/>
      </w:pPr>
    </w:p>
    <w:p>
      <w:pPr>
        <w:spacing w:after="60"/>
        <w:jc w:val="center"/>
      </w:pPr>
      <w:r>
        <w:rPr>
          <w:rFonts w:ascii="Arial" w:cs="Arial" w:eastAsia="Arial" w:hAnsi="Arial"/>
          <w:color w:val="666666"/>
          <w:sz w:val="20"/>
          <w:szCs w:val="20"/>
        </w:rPr>
        <w:t xml:space="preserve">Prepared for: Strategic Investment Partners</w:t>
      </w:r>
    </w:p>
    <w:p>
      <w:pPr>
        <w:spacing w:after="60"/>
        <w:jc w:val="center"/>
      </w:pPr>
      <w:r>
        <w:rPr>
          <w:rFonts w:ascii="Arial" w:cs="Arial" w:eastAsia="Arial" w:hAnsi="Arial"/>
          <w:color w:val="666666"/>
          <w:sz w:val="20"/>
          <w:szCs w:val="20"/>
        </w:rPr>
        <w:t xml:space="preserve">Developer: Infinity Developers Inc (Ltd, Barbados)</w:t>
      </w:r>
    </w:p>
    <w:p>
      <w:pPr>
        <w:jc w:val="center"/>
      </w:pPr>
      <w:r>
        <w:rPr>
          <w:rFonts w:ascii="Arial" w:cs="Arial" w:eastAsia="Arial" w:hAnsi="Arial"/>
          <w:i/>
          <w:iCs/>
          <w:color w:val="666666"/>
          <w:sz w:val="18"/>
          <w:szCs w:val="18"/>
        </w:rPr>
        <w:t xml:space="preserve">This document is confidential and intended solely for the use of the addressee.</w:t>
      </w:r>
    </w:p>
    <w:p>
      <w:r>
        <w:br w:type="page"/>
      </w:r>
    </w:p>
    <w:p>
      <w:pPr>
        <w:pStyle w:val="Heading1"/>
        <w:spacing w:after="200" w:before="360"/>
      </w:pPr>
      <w:r>
        <w:rPr>
          <w:rFonts w:ascii="Arial" w:cs="Arial" w:eastAsia="Arial" w:hAnsi="Arial"/>
          <w:b/>
          <w:bCs/>
          <w:color w:val="1B5E20"/>
          <w:sz w:val="32"/>
          <w:szCs w:val="32"/>
        </w:rPr>
        <w:t xml:space="preserve">Important Notice</w:t>
      </w:r>
    </w:p>
    <w:p>
      <w:pPr>
        <w:spacing w:after="120"/>
        <w:jc w:val="both"/>
      </w:pPr>
      <w:r>
        <w:rPr>
          <w:rFonts w:ascii="Arial" w:cs="Arial" w:eastAsia="Arial" w:hAnsi="Arial"/>
          <w:b w:val="false"/>
          <w:bCs w:val="false"/>
          <w:i w:val="false"/>
          <w:iCs w:val="false"/>
          <w:color w:val="000000"/>
          <w:sz w:val="20"/>
          <w:szCs w:val="20"/>
        </w:rPr>
        <w:t xml:space="preserve">This Investment Memorandum has been prepared by the strategic advisory workstream on behalf of Infinity Developers Inc (Ltd, Barbados) in connection with the Mount Brevitor Estate Development. It is provided to prospective investors and financing partners on a confidential basis for the sole purpose of evaluating the investment opportunity described herein.</w:t>
      </w:r>
    </w:p>
    <w:p>
      <w:pPr>
        <w:spacing w:after="120"/>
        <w:jc w:val="both"/>
      </w:pPr>
      <w:r>
        <w:rPr>
          <w:rFonts w:ascii="Arial" w:cs="Arial" w:eastAsia="Arial" w:hAnsi="Arial"/>
          <w:b w:val="false"/>
          <w:bCs w:val="false"/>
          <w:i w:val="false"/>
          <w:iCs w:val="false"/>
          <w:color w:val="000000"/>
          <w:sz w:val="20"/>
          <w:szCs w:val="20"/>
        </w:rPr>
        <w:t xml:space="preserve">All financial projections, market data, and forward-looking statements in this document are based on the developer's working assumptions, publicly available market data, and independent research. They have not been independently audited. Where data has been sourced from third parties, the source and date accessed are cited. Where figures are modelled assumptions, they are explicitly flagged.</w:t>
      </w:r>
    </w:p>
    <w:p>
      <w:pPr>
        <w:spacing w:after="120"/>
        <w:jc w:val="both"/>
      </w:pPr>
      <w:r>
        <w:rPr>
          <w:rFonts w:ascii="Arial" w:cs="Arial" w:eastAsia="Arial" w:hAnsi="Arial"/>
          <w:b w:val="false"/>
          <w:bCs w:val="false"/>
          <w:i w:val="false"/>
          <w:iCs w:val="false"/>
          <w:color w:val="000000"/>
          <w:sz w:val="20"/>
          <w:szCs w:val="20"/>
        </w:rPr>
        <w:t xml:space="preserve">This document does not constitute an offer or solicitation to sell securities or interests in the development. Any investment decision should be made on the basis of independent due diligence, legal advice, and financial analysis.</w:t>
      </w:r>
    </w:p>
    <w:p>
      <w:pPr>
        <w:spacing w:after="60"/>
      </w:pPr>
    </w:p>
    <w:p>
      <w:r>
        <w:br w:type="page"/>
      </w:r>
    </w:p>
    <w:p>
      <w:pPr>
        <w:pStyle w:val="Heading1"/>
        <w:spacing w:after="200" w:before="360"/>
      </w:pPr>
      <w:r>
        <w:rPr>
          <w:rFonts w:ascii="Arial" w:cs="Arial" w:eastAsia="Arial" w:hAnsi="Arial"/>
          <w:b/>
          <w:bCs/>
          <w:color w:val="1B5E20"/>
          <w:sz w:val="32"/>
          <w:szCs w:val="32"/>
        </w:rPr>
        <w:t xml:space="preserve">1. Executive Summary</w:t>
      </w:r>
    </w:p>
    <w:p>
      <w:pPr>
        <w:spacing w:after="120"/>
        <w:jc w:val="both"/>
      </w:pPr>
      <w:r>
        <w:rPr>
          <w:rFonts w:ascii="Arial" w:cs="Arial" w:eastAsia="Arial" w:hAnsi="Arial"/>
          <w:b w:val="false"/>
          <w:bCs w:val="false"/>
          <w:i w:val="false"/>
          <w:iCs w:val="false"/>
          <w:color w:val="000000"/>
          <w:sz w:val="20"/>
          <w:szCs w:val="20"/>
        </w:rPr>
        <w:t xml:space="preserve">Mount Brevitor is a 120-acre integrated estate development in northern Barbados, combining approximately 355 residential units, a 17-acre working agri-estate, the X Range branded entertainment golf facility, hybrid green energy infrastructure, and comprehensive community services. The developer, Infinity Developers Inc (Ltd, Barbados), seeks USD 57 million in financing to deliver the project over a 48-month programme from 2025 to 2028.</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USD</w:t>
            </w:r>
          </w:p>
        </w:tc>
        <w:tc>
          <w:tcPr>
            <w:tcW w:type="dxa" w:w="2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BBD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Gross Development Value (2025-2028)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$168.3M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BBD 336.6M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Development Cost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$114.1M</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BBD 228.2M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Net Profit (modelled)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$46.9M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BBD 93.8M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 Margin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28%</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Financing Sought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$57.0M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BBD 114.0M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Projected IRR (unlevered)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18-25%</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Sensitivity dependent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Development Period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2025-2028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48 months</w:t>
            </w:r>
          </w:p>
        </w:tc>
      </w:tr>
    </w:tbl>
    <w:p>
      <w:pPr>
        <w:spacing w:after="60"/>
      </w:pPr>
    </w:p>
    <w:p>
      <w:pPr>
        <w:spacing w:after="120"/>
        <w:jc w:val="both"/>
      </w:pPr>
      <w:r>
        <w:rPr>
          <w:rFonts w:ascii="Arial" w:cs="Arial" w:eastAsia="Arial" w:hAnsi="Arial"/>
          <w:b w:val="false"/>
          <w:bCs w:val="false"/>
          <w:i w:val="false"/>
          <w:iCs w:val="false"/>
          <w:color w:val="000000"/>
          <w:sz w:val="20"/>
          <w:szCs w:val="20"/>
        </w:rPr>
        <w:t xml:space="preserve">The project targets the structurally underserved Barbados middle-income housing segment, where government estimates place the deficit at over 10,000 units with fewer than 500 delivered in the past four years. Mount Brevitor is the only Barbados development combining residential living, a working farm, entertainment golf, and green energy infrastructure at mid-market pricing. No direct competitor offers this integrated product.</w:t>
      </w:r>
    </w:p>
    <w:p>
      <w:pPr>
        <w:spacing w:after="120"/>
        <w:jc w:val="both"/>
      </w:pPr>
      <w:r>
        <w:rPr>
          <w:rFonts w:ascii="Arial" w:cs="Arial" w:eastAsia="Arial" w:hAnsi="Arial"/>
          <w:b w:val="false"/>
          <w:bCs w:val="false"/>
          <w:i w:val="false"/>
          <w:iCs w:val="false"/>
          <w:color w:val="000000"/>
          <w:sz w:val="20"/>
          <w:szCs w:val="20"/>
        </w:rPr>
        <w:t xml:space="preserve">The investment opportunity comprises a USD 57 million loan facility with equity participation. The developer offers a proposed interest rate of 5% on the facility, potential equity upside, and involvement in a regional Caribbean project pipeline. Terms are subject to negotiation.</w:t>
      </w:r>
    </w:p>
    <w:p>
      <w:pPr>
        <w:pBdr>
          <w:left w:val="single" w:color="B8860B" w:sz="6" w:space="8"/>
        </w:pBdr>
        <w:spacing w:after="120" w:before="80"/>
        <w:ind w:left="200"/>
        <w:jc w:val="left"/>
      </w:pPr>
      <w:r>
        <w:rPr>
          <w:rFonts w:ascii="Arial" w:cs="Arial" w:eastAsia="Arial" w:hAnsi="Arial"/>
          <w:b/>
          <w:bCs/>
          <w:color w:val="B8860B"/>
          <w:sz w:val="20"/>
          <w:szCs w:val="20"/>
        </w:rPr>
        <w:t xml:space="preserve">FLAG: </w:t>
      </w:r>
      <w:r>
        <w:rPr>
          <w:rFonts w:ascii="Arial" w:cs="Arial" w:eastAsia="Arial" w:hAnsi="Arial"/>
          <w:i/>
          <w:iCs/>
          <w:color w:val="666666"/>
          <w:sz w:val="20"/>
          <w:szCs w:val="20"/>
        </w:rPr>
        <w:t xml:space="preserve">The 5% interest rate is below Barbados commercial market rates of 6-9%. Lender type and rate basis require confirmation. All investor materials model sensitivity at higher rates.</w:t>
      </w:r>
    </w:p>
    <w:p>
      <w:r>
        <w:br w:type="page"/>
      </w:r>
    </w:p>
    <w:p>
      <w:pPr>
        <w:pStyle w:val="Heading1"/>
        <w:spacing w:after="200" w:before="360"/>
      </w:pPr>
      <w:r>
        <w:rPr>
          <w:rFonts w:ascii="Arial" w:cs="Arial" w:eastAsia="Arial" w:hAnsi="Arial"/>
          <w:b/>
          <w:bCs/>
          <w:color w:val="1B5E20"/>
          <w:sz w:val="32"/>
          <w:szCs w:val="32"/>
        </w:rPr>
        <w:t xml:space="preserve">2. Project Description</w:t>
      </w:r>
    </w:p>
    <w:p>
      <w:pPr>
        <w:pStyle w:val="Heading2"/>
        <w:spacing w:after="160" w:before="240"/>
      </w:pPr>
      <w:r>
        <w:rPr>
          <w:rFonts w:ascii="Arial" w:cs="Arial" w:eastAsia="Arial" w:hAnsi="Arial"/>
          <w:b/>
          <w:bCs/>
          <w:color w:val="2E7D32"/>
          <w:sz w:val="26"/>
          <w:szCs w:val="26"/>
        </w:rPr>
        <w:t xml:space="preserve">2.1 Site and Location</w:t>
      </w:r>
    </w:p>
    <w:p>
      <w:pPr>
        <w:spacing w:after="120"/>
        <w:jc w:val="both"/>
      </w:pPr>
      <w:r>
        <w:rPr>
          <w:rFonts w:ascii="Arial" w:cs="Arial" w:eastAsia="Arial" w:hAnsi="Arial"/>
          <w:b w:val="false"/>
          <w:bCs w:val="false"/>
          <w:i w:val="false"/>
          <w:iCs w:val="false"/>
          <w:color w:val="000000"/>
          <w:sz w:val="20"/>
          <w:szCs w:val="20"/>
        </w:rPr>
        <w:t xml:space="preserve">The site comprises approximately 120 acres in northern Barbados, likely situated in the parish of St. Peter. Northern Barbados is the island's emerging residential growth corridor, recording approximately 10% annual price growth, ahead of the island-wide average of 3-5%. The area benefits from improved road infrastructure, proximity to Speightstown (the island's second commercial centre), and the growing tourism corridor including the Animal Flower Cave attraction.</w:t>
      </w:r>
    </w:p>
    <w:p>
      <w:pPr>
        <w:pBdr>
          <w:left w:val="single" w:color="B8860B" w:sz="6" w:space="8"/>
        </w:pBdr>
        <w:spacing w:after="120" w:before="80"/>
        <w:ind w:left="200"/>
        <w:jc w:val="left"/>
      </w:pPr>
      <w:r>
        <w:rPr>
          <w:rFonts w:ascii="Arial" w:cs="Arial" w:eastAsia="Arial" w:hAnsi="Arial"/>
          <w:b/>
          <w:bCs/>
          <w:color w:val="B8860B"/>
          <w:sz w:val="20"/>
          <w:szCs w:val="20"/>
        </w:rPr>
        <w:t xml:space="preserve">FLAG: </w:t>
      </w:r>
      <w:r>
        <w:rPr>
          <w:rFonts w:ascii="Arial" w:cs="Arial" w:eastAsia="Arial" w:hAnsi="Arial"/>
          <w:i/>
          <w:iCs/>
          <w:color w:val="666666"/>
          <w:sz w:val="20"/>
          <w:szCs w:val="20"/>
        </w:rPr>
        <w:t xml:space="preserve">Exact parish, GPS coordinates, and zoning classification are not yet confirmed. Pre-application with TCPD has not commenced. These are critical path items.</w:t>
      </w:r>
    </w:p>
    <w:p>
      <w:pPr>
        <w:pStyle w:val="Heading2"/>
        <w:spacing w:after="160" w:before="240"/>
      </w:pPr>
      <w:r>
        <w:rPr>
          <w:rFonts w:ascii="Arial" w:cs="Arial" w:eastAsia="Arial" w:hAnsi="Arial"/>
          <w:b/>
          <w:bCs/>
          <w:color w:val="2E7D32"/>
          <w:sz w:val="26"/>
          <w:szCs w:val="26"/>
        </w:rPr>
        <w:t xml:space="preserve">2.2 Development Components</w:t>
      </w:r>
    </w:p>
    <w:p>
      <w:pPr>
        <w:spacing w:after="120"/>
        <w:jc w:val="both"/>
      </w:pPr>
      <w:r>
        <w:rPr>
          <w:rFonts w:ascii="Arial" w:cs="Arial" w:eastAsia="Arial" w:hAnsi="Arial"/>
          <w:b w:val="false"/>
          <w:bCs w:val="false"/>
          <w:i w:val="false"/>
          <w:iCs w:val="false"/>
          <w:color w:val="000000"/>
          <w:sz w:val="20"/>
          <w:szCs w:val="20"/>
        </w:rPr>
        <w:t xml:space="preserve">The estate integrates four revenue-generating components within a single master-planned community:</w:t>
      </w:r>
    </w:p>
    <w:p>
      <w:pPr>
        <w:pStyle w:val="Heading3"/>
        <w:spacing w:after="120" w:before="200"/>
      </w:pPr>
      <w:r>
        <w:rPr>
          <w:rFonts w:ascii="Arial" w:cs="Arial" w:eastAsia="Arial" w:hAnsi="Arial"/>
          <w:b/>
          <w:bCs/>
          <w:color w:val="000000"/>
          <w:sz w:val="22"/>
          <w:szCs w:val="22"/>
        </w:rPr>
        <w:t xml:space="preserve">Residential Clusters (approximately 355 units)</w:t>
      </w:r>
    </w:p>
    <w:p>
      <w:pPr>
        <w:spacing w:after="120"/>
        <w:jc w:val="both"/>
      </w:pPr>
      <w:r>
        <w:rPr>
          <w:rFonts w:ascii="Arial" w:cs="Arial" w:eastAsia="Arial" w:hAnsi="Arial"/>
          <w:b w:val="false"/>
          <w:bCs w:val="false"/>
          <w:i w:val="false"/>
          <w:iCs w:val="false"/>
          <w:color w:val="000000"/>
          <w:sz w:val="20"/>
          <w:szCs w:val="20"/>
        </w:rPr>
        <w:t xml:space="preserve">Four phases of residential development delivering a mix of 1-bedroom condominiums through 5-bedroom executive homes. Pricing ranges from BBD 400,000 (USD 200,000) at the entry level to over BBD 1,000,000 (USD 500,000+) for premium units. The unit mix is designed to capture local Barbadian middle-income buyers (55-65% of demand), Barbadian diaspora returnees (15-20%), international remote workers and retirees (10-15%), and regional investors (5-10%).</w:t>
      </w:r>
    </w:p>
    <w:p>
      <w:pPr>
        <w:pStyle w:val="Heading3"/>
        <w:spacing w:after="120" w:before="200"/>
      </w:pPr>
      <w:r>
        <w:rPr>
          <w:rFonts w:ascii="Arial" w:cs="Arial" w:eastAsia="Arial" w:hAnsi="Arial"/>
          <w:b/>
          <w:bCs/>
          <w:color w:val="000000"/>
          <w:sz w:val="22"/>
          <w:szCs w:val="22"/>
        </w:rPr>
        <w:t xml:space="preserve">Agri-Estate (17 acres)</w:t>
      </w:r>
    </w:p>
    <w:p>
      <w:pPr>
        <w:spacing w:after="120"/>
        <w:jc w:val="both"/>
      </w:pPr>
      <w:r>
        <w:rPr>
          <w:rFonts w:ascii="Arial" w:cs="Arial" w:eastAsia="Arial" w:hAnsi="Arial"/>
          <w:b w:val="false"/>
          <w:bCs w:val="false"/>
          <w:i w:val="false"/>
          <w:iCs w:val="false"/>
          <w:color w:val="000000"/>
          <w:sz w:val="20"/>
          <w:szCs w:val="20"/>
        </w:rPr>
        <w:t xml:space="preserve">A working agricultural operation comprising aquaponics (fish and plant production), containerised vegetable growing, dairy cattle, and cheese production. The recommended operating model (Phase 1 advisory, Model C with selective B elements) prioritises supply to the estate community through the on-site supermarket and X Range restaurant, supplemented by a direct-to-consumer farm shop and targeted agri-tourism experiences. Projected annual revenue at stabilisation: USD 1.0 to 1.5 million.</w:t>
      </w:r>
    </w:p>
    <w:p>
      <w:pPr>
        <w:pStyle w:val="Heading3"/>
        <w:spacing w:after="120" w:before="200"/>
      </w:pPr>
      <w:r>
        <w:rPr>
          <w:rFonts w:ascii="Arial" w:cs="Arial" w:eastAsia="Arial" w:hAnsi="Arial"/>
          <w:b/>
          <w:bCs/>
          <w:color w:val="000000"/>
          <w:sz w:val="22"/>
          <w:szCs w:val="22"/>
        </w:rPr>
        <w:t xml:space="preserve">X Range Entertainment Golf</w:t>
      </w:r>
    </w:p>
    <w:p>
      <w:pPr>
        <w:spacing w:after="120"/>
        <w:jc w:val="both"/>
      </w:pPr>
      <w:r>
        <w:rPr>
          <w:rFonts w:ascii="Arial" w:cs="Arial" w:eastAsia="Arial" w:hAnsi="Arial"/>
          <w:b w:val="false"/>
          <w:bCs w:val="false"/>
          <w:i w:val="false"/>
          <w:iCs w:val="false"/>
          <w:color w:val="000000"/>
          <w:sz w:val="20"/>
          <w:szCs w:val="20"/>
        </w:rPr>
        <w:t xml:space="preserve">A branded driving range with integrated bar, restaurant, and social spaces. Positioned as a lifestyle and entertainment anchor for the estate rather than an exclusive members' club. The X Range serves both residents and external visitors, creating foot traffic that supports the farm shop and community commercial operations.</w:t>
      </w:r>
    </w:p>
    <w:p>
      <w:pPr>
        <w:pBdr>
          <w:left w:val="single" w:color="B8860B" w:sz="6" w:space="8"/>
        </w:pBdr>
        <w:spacing w:after="120" w:before="80"/>
        <w:ind w:left="200"/>
        <w:jc w:val="left"/>
      </w:pPr>
      <w:r>
        <w:rPr>
          <w:rFonts w:ascii="Arial" w:cs="Arial" w:eastAsia="Arial" w:hAnsi="Arial"/>
          <w:b/>
          <w:bCs/>
          <w:color w:val="B8860B"/>
          <w:sz w:val="20"/>
          <w:szCs w:val="20"/>
        </w:rPr>
        <w:t xml:space="preserve">FLAG: </w:t>
      </w:r>
      <w:r>
        <w:rPr>
          <w:rFonts w:ascii="Arial" w:cs="Arial" w:eastAsia="Arial" w:hAnsi="Arial"/>
          <w:i/>
          <w:iCs/>
          <w:color w:val="666666"/>
          <w:sz w:val="20"/>
          <w:szCs w:val="20"/>
        </w:rPr>
        <w:t xml:space="preserve">X Range format, footprint, capex, and operator terms are not documented by the developer. This is classified as a CRITICAL open item (Risk O-02). The financial model for the golf component uses stated assumptions pending developer confirmation.</w:t>
      </w:r>
    </w:p>
    <w:p>
      <w:pPr>
        <w:pStyle w:val="Heading3"/>
        <w:spacing w:after="120" w:before="200"/>
      </w:pPr>
      <w:r>
        <w:rPr>
          <w:rFonts w:ascii="Arial" w:cs="Arial" w:eastAsia="Arial" w:hAnsi="Arial"/>
          <w:b/>
          <w:bCs/>
          <w:color w:val="000000"/>
          <w:sz w:val="22"/>
          <w:szCs w:val="22"/>
        </w:rPr>
        <w:t xml:space="preserve">Community Infrastructure</w:t>
      </w:r>
    </w:p>
    <w:p>
      <w:pPr>
        <w:spacing w:after="120"/>
        <w:jc w:val="both"/>
      </w:pPr>
      <w:r>
        <w:rPr>
          <w:rFonts w:ascii="Arial" w:cs="Arial" w:eastAsia="Arial" w:hAnsi="Arial"/>
          <w:b w:val="false"/>
          <w:bCs w:val="false"/>
          <w:i w:val="false"/>
          <w:iCs w:val="false"/>
          <w:color w:val="000000"/>
          <w:sz w:val="20"/>
          <w:szCs w:val="20"/>
        </w:rPr>
        <w:t xml:space="preserve">The estate includes a medical centre, supermarket, pickleball courts, hybrid solar-battery energy system with diesel backup, and an on-site water treatment plant. These services are designed to make Mount Brevitor a self-sustaining community rather than a conventional housing subdivision.</w:t>
      </w:r>
    </w:p>
    <w:p>
      <w:pPr>
        <w:pStyle w:val="Heading2"/>
        <w:spacing w:after="160" w:before="240"/>
      </w:pPr>
      <w:r>
        <w:rPr>
          <w:rFonts w:ascii="Arial" w:cs="Arial" w:eastAsia="Arial" w:hAnsi="Arial"/>
          <w:b/>
          <w:bCs/>
          <w:color w:val="2E7D32"/>
          <w:sz w:val="26"/>
          <w:szCs w:val="26"/>
        </w:rPr>
        <w:t xml:space="preserve">2.3 Green Infrastructure</w:t>
      </w:r>
    </w:p>
    <w:p>
      <w:pPr>
        <w:spacing w:after="120"/>
        <w:jc w:val="both"/>
      </w:pPr>
      <w:r>
        <w:rPr>
          <w:rFonts w:ascii="Arial" w:cs="Arial" w:eastAsia="Arial" w:hAnsi="Arial"/>
          <w:b w:val="false"/>
          <w:bCs w:val="false"/>
          <w:i w:val="false"/>
          <w:iCs w:val="false"/>
          <w:color w:val="000000"/>
          <w:sz w:val="20"/>
          <w:szCs w:val="20"/>
        </w:rPr>
        <w:t xml:space="preserve">The development targets EDGE Advanced or LEED Silver green building certification. Sustainability features include: rooftop and agrivoltaic solar PV arrays, battery storage with diesel backup for energy resilience, on-site water treatment and recycling, aquaponics closed-loop water systems, energy-efficient building fabric, and LED infrastructure throughout. The green certification serves both environmental and commercial objectives: it differentiates the product in a market where no competitor markets green credentials, and it may qualify the project for green bond or ESG-linked financing.</w:t>
      </w:r>
    </w:p>
    <w:p>
      <w:r>
        <w:br w:type="page"/>
      </w:r>
    </w:p>
    <w:p>
      <w:pPr>
        <w:pStyle w:val="Heading1"/>
        <w:spacing w:after="200" w:before="360"/>
      </w:pPr>
      <w:r>
        <w:rPr>
          <w:rFonts w:ascii="Arial" w:cs="Arial" w:eastAsia="Arial" w:hAnsi="Arial"/>
          <w:b/>
          <w:bCs/>
          <w:color w:val="1B5E20"/>
          <w:sz w:val="32"/>
          <w:szCs w:val="32"/>
        </w:rPr>
        <w:t xml:space="preserve">3. Market Analysis</w:t>
      </w:r>
    </w:p>
    <w:p>
      <w:pPr>
        <w:pStyle w:val="Heading2"/>
        <w:spacing w:after="160" w:before="240"/>
      </w:pPr>
      <w:r>
        <w:rPr>
          <w:rFonts w:ascii="Arial" w:cs="Arial" w:eastAsia="Arial" w:hAnsi="Arial"/>
          <w:b/>
          <w:bCs/>
          <w:color w:val="2E7D32"/>
          <w:sz w:val="26"/>
          <w:szCs w:val="26"/>
        </w:rPr>
        <w:t xml:space="preserve">3.1 Barbados Macroeconomic Overview</w:t>
      </w:r>
    </w:p>
    <w:p>
      <w:pPr>
        <w:spacing w:after="120"/>
        <w:jc w:val="both"/>
      </w:pPr>
      <w:r>
        <w:rPr>
          <w:rFonts w:ascii="Arial" w:cs="Arial" w:eastAsia="Arial" w:hAnsi="Arial"/>
          <w:b w:val="false"/>
          <w:bCs w:val="false"/>
          <w:i w:val="false"/>
          <w:iCs w:val="false"/>
          <w:color w:val="000000"/>
          <w:sz w:val="20"/>
          <w:szCs w:val="20"/>
        </w:rPr>
        <w:t xml:space="preserve">The Barbados economy has demonstrated sustained recovery and fiscal discipline. The following data points are sourced from the Central Bank of Barbados and IMF as of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Indicator</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 GDP growth (2025 projected)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 (Central Bank of Barbados, June 2025)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 GDP growth (2026 forecast)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2.5-3.0% (Central Bank of Barbados)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Inflation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1.7-3.5% (Central Bank of Barbados)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International reserves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Record high; 9+ months import cover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fiscal surplus (FY 2024/25)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 of GDP ($662.8M)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Unemployment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Lowest in recent history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Currency peg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BBD 2.00 = USD 1.00 (fixed since 1975)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Tourism stayover arrivals (Jan-Aug 2025)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503,000 (+5.4% YoY)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Debt-to-GDP trajectory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Declining toward 60% target by FY 2035/36</w:t>
            </w:r>
          </w:p>
        </w:tc>
      </w:tr>
    </w:tbl>
    <w:p>
      <w:pPr>
        <w:spacing w:after="60"/>
      </w:pPr>
    </w:p>
    <w:p>
      <w:pPr>
        <w:spacing w:after="120"/>
        <w:jc w:val="both"/>
      </w:pPr>
      <w:r>
        <w:rPr>
          <w:rFonts w:ascii="Arial" w:cs="Arial" w:eastAsia="Arial" w:hAnsi="Arial"/>
          <w:b w:val="false"/>
          <w:bCs w:val="false"/>
          <w:i/>
          <w:iCs/>
          <w:color w:val="666666"/>
          <w:sz w:val="20"/>
          <w:szCs w:val="20"/>
        </w:rPr>
        <w:t xml:space="preserve">Sources: Central Bank of Barbados economic outlook publications (2025-2026); Barbados Statistical Service visitor arrivals data; IMF country data. Accessed March 2025.</w:t>
      </w:r>
    </w:p>
    <w:p>
      <w:pPr>
        <w:spacing w:after="60"/>
      </w:pPr>
    </w:p>
    <w:p>
      <w:pPr>
        <w:spacing w:after="120"/>
        <w:jc w:val="both"/>
      </w:pPr>
      <w:r>
        <w:rPr>
          <w:rFonts w:ascii="Arial" w:cs="Arial" w:eastAsia="Arial" w:hAnsi="Arial"/>
          <w:b w:val="false"/>
          <w:bCs w:val="false"/>
          <w:i w:val="false"/>
          <w:iCs w:val="false"/>
          <w:color w:val="000000"/>
          <w:sz w:val="20"/>
          <w:szCs w:val="20"/>
        </w:rPr>
        <w:t xml:space="preserve">These indicators confirm a stable, growing economy with strong fiscal discipline, low inflation, record reserves, and declining debt. The fixed BBD/USD peg, maintained since 1975, eliminates exchange rate risk for USD-denominated investors. Tourism growth at 5.4% in 2025 and record-low unemployment support consumer confidence and housing demand.</w:t>
      </w:r>
    </w:p>
    <w:p>
      <w:pPr>
        <w:pStyle w:val="Heading2"/>
        <w:spacing w:after="160" w:before="240"/>
      </w:pPr>
      <w:r>
        <w:rPr>
          <w:rFonts w:ascii="Arial" w:cs="Arial" w:eastAsia="Arial" w:hAnsi="Arial"/>
          <w:b/>
          <w:bCs/>
          <w:color w:val="2E7D32"/>
          <w:sz w:val="26"/>
          <w:szCs w:val="26"/>
        </w:rPr>
        <w:t xml:space="preserve">3.2 Residential Market Dynamics</w:t>
      </w:r>
    </w:p>
    <w:p>
      <w:pPr>
        <w:spacing w:after="120"/>
        <w:jc w:val="both"/>
      </w:pPr>
      <w:r>
        <w:rPr>
          <w:rFonts w:ascii="Arial" w:cs="Arial" w:eastAsia="Arial" w:hAnsi="Arial"/>
          <w:b w:val="false"/>
          <w:bCs w:val="false"/>
          <w:i w:val="false"/>
          <w:iCs w:val="false"/>
          <w:color w:val="000000"/>
          <w:sz w:val="20"/>
          <w:szCs w:val="20"/>
        </w:rPr>
        <w:t xml:space="preserve">The Barbados residential market in 2025 is characterised by structural undersupply meeting growing demand:</w:t>
      </w:r>
    </w:p>
    <w:p>
      <w:pPr>
        <w:spacing w:after="120"/>
        <w:jc w:val="both"/>
      </w:pPr>
      <w:r>
        <w:rPr>
          <w:rFonts w:ascii="Arial" w:cs="Arial" w:eastAsia="Arial" w:hAnsi="Arial"/>
          <w:b w:val="false"/>
          <w:bCs w:val="false"/>
          <w:i w:val="false"/>
          <w:iCs w:val="false"/>
          <w:color w:val="000000"/>
          <w:sz w:val="20"/>
          <w:szCs w:val="20"/>
        </w:rPr>
        <w:t xml:space="preserve">Housing deficit: Government estimates place the national deficit at over 10,000 affordable units. Fewer than 500 have been delivered in the past four years. This is not cyclical; it is a persistent structural gap concentrated in the BBD 250,000 to BBD 550,000 range.</w:t>
      </w:r>
    </w:p>
    <w:p>
      <w:pPr>
        <w:spacing w:after="120"/>
        <w:jc w:val="both"/>
      </w:pPr>
      <w:r>
        <w:rPr>
          <w:rFonts w:ascii="Arial" w:cs="Arial" w:eastAsia="Arial" w:hAnsi="Arial"/>
          <w:b w:val="false"/>
          <w:bCs w:val="false"/>
          <w:i w:val="false"/>
          <w:iCs w:val="false"/>
          <w:color w:val="000000"/>
          <w:sz w:val="20"/>
          <w:szCs w:val="20"/>
        </w:rPr>
        <w:t xml:space="preserve">Price growth: Island-wide residential price growth was approximately 6.9% year-on-year in early 2025 (Hannah Properties market report, March 2025). Northern Barbados is recording approximately 10% annual price growth, ahead of the island average, driven by relative affordability and limited new supply.</w:t>
      </w:r>
    </w:p>
    <w:p>
      <w:pPr>
        <w:spacing w:after="120"/>
        <w:jc w:val="both"/>
      </w:pPr>
      <w:r>
        <w:rPr>
          <w:rFonts w:ascii="Arial" w:cs="Arial" w:eastAsia="Arial" w:hAnsi="Arial"/>
          <w:b w:val="false"/>
          <w:bCs w:val="false"/>
          <w:i w:val="false"/>
          <w:iCs w:val="false"/>
          <w:color w:val="000000"/>
          <w:sz w:val="20"/>
          <w:szCs w:val="20"/>
        </w:rPr>
        <w:t xml:space="preserve">Transaction volume: Residential transaction volume grew approximately 75% between 2023 and 2025, reflecting post-COVID pent-up demand, improved mortgage availability, and restored consumer confidence.</w:t>
      </w:r>
    </w:p>
    <w:p>
      <w:pPr>
        <w:spacing w:after="120"/>
        <w:jc w:val="both"/>
      </w:pPr>
      <w:r>
        <w:rPr>
          <w:rFonts w:ascii="Arial" w:cs="Arial" w:eastAsia="Arial" w:hAnsi="Arial"/>
          <w:b w:val="false"/>
          <w:bCs w:val="false"/>
          <w:i w:val="false"/>
          <w:iCs w:val="false"/>
          <w:color w:val="000000"/>
          <w:sz w:val="20"/>
          <w:szCs w:val="20"/>
        </w:rPr>
        <w:t xml:space="preserve">New lending: Banking sector new lending grew 36% in Q1 2024 versus Q1 2023 (Central Bank of Barbados). Non-performing loans declined to 5.0% from 5.9%.</w:t>
      </w:r>
    </w:p>
    <w:p>
      <w:pPr>
        <w:pStyle w:val="Heading2"/>
        <w:spacing w:after="160" w:before="240"/>
      </w:pPr>
      <w:r>
        <w:rPr>
          <w:rFonts w:ascii="Arial" w:cs="Arial" w:eastAsia="Arial" w:hAnsi="Arial"/>
          <w:b/>
          <w:bCs/>
          <w:color w:val="2E7D32"/>
          <w:sz w:val="26"/>
          <w:szCs w:val="26"/>
        </w:rPr>
        <w:t xml:space="preserve">3.3 Construction Cost Environment</w:t>
      </w:r>
    </w:p>
    <w:p>
      <w:pPr>
        <w:spacing w:after="120"/>
        <w:jc w:val="both"/>
      </w:pPr>
      <w:r>
        <w:rPr>
          <w:rFonts w:ascii="Arial" w:cs="Arial" w:eastAsia="Arial" w:hAnsi="Arial"/>
          <w:b w:val="false"/>
          <w:bCs w:val="false"/>
          <w:i w:val="false"/>
          <w:iCs w:val="false"/>
          <w:color w:val="000000"/>
          <w:sz w:val="20"/>
          <w:szCs w:val="20"/>
        </w:rPr>
        <w:t xml:space="preserve">Construction costs in Barbados have escalated materially. Between 2022 and 2024, the cost of building a standard home increased 15-18%, reaching BBD 250-300 per square foot (USD 125-150/sq ft) according to BCQS International (Nation News, January 2025). Key cost drivers include sand prices doubling to BBD 2,000 per 12-metre load, increased steel and concrete costs, and labour availability constraints.</w:t>
      </w:r>
    </w:p>
    <w:p>
      <w:pPr>
        <w:spacing w:after="120"/>
        <w:jc w:val="both"/>
      </w:pPr>
      <w:r>
        <w:rPr>
          <w:rFonts w:ascii="Arial" w:cs="Arial" w:eastAsia="Arial" w:hAnsi="Arial"/>
          <w:b w:val="false"/>
          <w:bCs w:val="false"/>
          <w:i w:val="false"/>
          <w:iCs w:val="false"/>
          <w:color w:val="000000"/>
          <w:sz w:val="20"/>
          <w:szCs w:val="20"/>
        </w:rPr>
        <w:t xml:space="preserve">For this memorandum, the base case construction cost assumption is USD 140-180 per square foot for modest residential construction, consistent with BCQS 2023-24 Caribbean Construction Market Trend Report benchmarks. The developer claims proprietary technology delivering 20-30% cost savings below these benchmarks.</w:t>
      </w:r>
    </w:p>
    <w:p>
      <w:pPr>
        <w:pBdr>
          <w:left w:val="single" w:color="B8860B" w:sz="6" w:space="8"/>
        </w:pBdr>
        <w:spacing w:after="120" w:before="80"/>
        <w:ind w:left="200"/>
        <w:jc w:val="left"/>
      </w:pPr>
      <w:r>
        <w:rPr>
          <w:rFonts w:ascii="Arial" w:cs="Arial" w:eastAsia="Arial" w:hAnsi="Arial"/>
          <w:b/>
          <w:bCs/>
          <w:color w:val="B8860B"/>
          <w:sz w:val="20"/>
          <w:szCs w:val="20"/>
        </w:rPr>
        <w:t xml:space="preserve">FLAG: </w:t>
      </w:r>
      <w:r>
        <w:rPr>
          <w:rFonts w:ascii="Arial" w:cs="Arial" w:eastAsia="Arial" w:hAnsi="Arial"/>
          <w:i/>
          <w:iCs/>
          <w:color w:val="666666"/>
          <w:sz w:val="20"/>
          <w:szCs w:val="20"/>
        </w:rPr>
        <w:t xml:space="preserve">The 20-30% construction cost savings claim is not independently verified. The financial model presented herein uses BCQS benchmark costs as the base case and models the developer's claimed savings as an upside scenario only.</w:t>
      </w:r>
    </w:p>
    <w:p>
      <w:r>
        <w:br w:type="page"/>
      </w:r>
    </w:p>
    <w:p>
      <w:pPr>
        <w:pStyle w:val="Heading1"/>
        <w:spacing w:after="200" w:before="360"/>
      </w:pPr>
      <w:r>
        <w:rPr>
          <w:rFonts w:ascii="Arial" w:cs="Arial" w:eastAsia="Arial" w:hAnsi="Arial"/>
          <w:b/>
          <w:bCs/>
          <w:color w:val="1B5E20"/>
          <w:sz w:val="32"/>
          <w:szCs w:val="32"/>
        </w:rPr>
        <w:t xml:space="preserve">4. Competitive Landscape</w:t>
      </w:r>
    </w:p>
    <w:p>
      <w:pPr>
        <w:spacing w:after="120"/>
        <w:jc w:val="both"/>
      </w:pPr>
      <w:r>
        <w:rPr>
          <w:rFonts w:ascii="Arial" w:cs="Arial" w:eastAsia="Arial" w:hAnsi="Arial"/>
          <w:b w:val="false"/>
          <w:bCs w:val="false"/>
          <w:i w:val="false"/>
          <w:iCs w:val="false"/>
          <w:color w:val="000000"/>
          <w:sz w:val="20"/>
          <w:szCs w:val="20"/>
        </w:rPr>
        <w:t xml:space="preserve">The Phase 1 competitive benchmarking analysis identified four comparable developments. The following table summarises current positioning with pricing verified from realtor websites as of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300"/>
        <w:gridCol w:w="1300"/>
        <w:gridCol w:w="196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Development</w:t>
            </w:r>
          </w:p>
        </w:tc>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Parish</w:t>
            </w:r>
          </w:p>
        </w:tc>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Range</w:t>
            </w:r>
          </w:p>
        </w:tc>
        <w:tc>
          <w:tcPr>
            <w:tcW w:type="dxa" w:w="13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Scale</w:t>
            </w:r>
          </w:p>
        </w:tc>
        <w:tc>
          <w:tcPr>
            <w:tcW w:type="dxa" w:w="13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Farm</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Golf/Entertain.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Coverley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Christ Church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$303K-429K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586 homes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Vuemont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 Peter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$275K-355K</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Mid-scale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Harmony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Christ Church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$150K base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96 units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Apes Hill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 James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$500K+</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Large estate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(luxury)</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18-hole course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B5E20"/>
                <w:sz w:val="20"/>
                <w:szCs w:val="20"/>
              </w:rPr>
              <w:t xml:space="preserve">Mt. Brevitor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B5E20"/>
                <w:sz w:val="20"/>
                <w:szCs w:val="20"/>
              </w:rPr>
              <w:t xml:space="preserve">St. Peter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B5E20"/>
                <w:sz w:val="20"/>
                <w:szCs w:val="20"/>
              </w:rPr>
              <w:t xml:space="preserve">$200K-500K+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B5E20"/>
                <w:sz w:val="20"/>
                <w:szCs w:val="20"/>
              </w:rPr>
              <w:t xml:space="preserve">355 units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B5E20"/>
                <w:sz w:val="20"/>
                <w:szCs w:val="20"/>
              </w:rPr>
              <w:t xml:space="preserve">Yes (mid-mkt)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B5E20"/>
                <w:sz w:val="20"/>
                <w:szCs w:val="20"/>
              </w:rPr>
              <w:t xml:space="preserve">X Range</w:t>
            </w:r>
          </w:p>
        </w:tc>
      </w:tr>
    </w:tbl>
    <w:p>
      <w:pPr>
        <w:spacing w:after="60"/>
      </w:pPr>
    </w:p>
    <w:p>
      <w:pPr>
        <w:spacing w:after="120"/>
        <w:jc w:val="both"/>
      </w:pPr>
      <w:r>
        <w:rPr>
          <w:rFonts w:ascii="Arial" w:cs="Arial" w:eastAsia="Arial" w:hAnsi="Arial"/>
          <w:b w:val="false"/>
          <w:bCs w:val="false"/>
          <w:i w:val="false"/>
          <w:iCs w:val="false"/>
          <w:color w:val="000000"/>
          <w:sz w:val="20"/>
          <w:szCs w:val="20"/>
        </w:rPr>
        <w:t xml:space="preserve">Mount Brevitor occupies a positioning gap between middle-market (Coverley, Vuemont) and luxury (Apes Hill). No active Barbados development offers an integrated estate with farm, entertainment golf, green infrastructure, and community services at the BBD 400,000 to BBD 1,000,000 price range. Coverley, the closest competitor by scale, commenced Phase 1 construction in January 2025 with 203 homes starting at USD 303,000. Coverley's town-centre concept is functional but lacks the experiential identity that Mount Brevitor's farm and golf components provide.</w:t>
      </w:r>
    </w:p>
    <w:p>
      <w:pPr>
        <w:spacing w:after="120"/>
        <w:jc w:val="both"/>
      </w:pPr>
      <w:r>
        <w:rPr>
          <w:rFonts w:ascii="Arial" w:cs="Arial" w:eastAsia="Arial" w:hAnsi="Arial"/>
          <w:b w:val="false"/>
          <w:bCs w:val="false"/>
          <w:i/>
          <w:iCs/>
          <w:color w:val="666666"/>
          <w:sz w:val="20"/>
          <w:szCs w:val="20"/>
        </w:rPr>
        <w:t xml:space="preserve">Sources: Terra Caribbean (terracaribbean.com), Barbados Dream Properties (barbadosdreamproperties.com), Villages at Coverley (villagesatcoverley.net). Accessed March 2025.</w:t>
      </w:r>
    </w:p>
    <w:p>
      <w:r>
        <w:br w:type="page"/>
      </w:r>
    </w:p>
    <w:p>
      <w:pPr>
        <w:pStyle w:val="Heading1"/>
        <w:spacing w:after="200" w:before="360"/>
      </w:pPr>
      <w:r>
        <w:rPr>
          <w:rFonts w:ascii="Arial" w:cs="Arial" w:eastAsia="Arial" w:hAnsi="Arial"/>
          <w:b/>
          <w:bCs/>
          <w:color w:val="1B5E20"/>
          <w:sz w:val="32"/>
          <w:szCs w:val="32"/>
        </w:rPr>
        <w:t xml:space="preserve">5. Development Programme and Phasing</w:t>
      </w:r>
    </w:p>
    <w:p>
      <w:pPr>
        <w:spacing w:after="120"/>
        <w:jc w:val="both"/>
      </w:pPr>
      <w:r>
        <w:rPr>
          <w:rFonts w:ascii="Arial" w:cs="Arial" w:eastAsia="Arial" w:hAnsi="Arial"/>
          <w:b w:val="false"/>
          <w:bCs w:val="false"/>
          <w:i w:val="false"/>
          <w:iCs w:val="false"/>
          <w:color w:val="000000"/>
          <w:sz w:val="20"/>
          <w:szCs w:val="20"/>
        </w:rPr>
        <w:t xml:space="preserve">The development is structured across four phases over 48 months. Each phase is designed to generate revenue before the next phase commits construction capital, creating natural go/no-go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4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Phase 1 (2025)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Land acquisition, site preparation, model home, lot sales (Parcels 1C/1D), marketing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Lot 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$15.2M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Phase 2 (2026)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Construction of approx. 205 units, sewage and water plant, core infrastructure, peak capital deployment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$39.1M draw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Phase 3 (2027)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Remaining residential phases, farm operational, commercial buildings, amenity build-out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$55.3M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Phase 4 (2028)</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Upper-tier homes, community facilities complete, farm at scale, loan repayment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$58.8M</w:t>
            </w:r>
          </w:p>
        </w:tc>
      </w:tr>
    </w:tbl>
    <w:p>
      <w:pPr>
        <w:spacing w:after="60"/>
      </w:pPr>
    </w:p>
    <w:p>
      <w:pPr>
        <w:pBdr>
          <w:left w:val="single" w:color="B8860B" w:sz="6" w:space="8"/>
        </w:pBdr>
        <w:spacing w:after="120" w:before="80"/>
        <w:ind w:left="200"/>
        <w:jc w:val="left"/>
      </w:pPr>
      <w:r>
        <w:rPr>
          <w:rFonts w:ascii="Arial" w:cs="Arial" w:eastAsia="Arial" w:hAnsi="Arial"/>
          <w:b/>
          <w:bCs/>
          <w:color w:val="B8860B"/>
          <w:sz w:val="20"/>
          <w:szCs w:val="20"/>
        </w:rPr>
        <w:t xml:space="preserve">FLAG: </w:t>
      </w:r>
      <w:r>
        <w:rPr>
          <w:rFonts w:ascii="Arial" w:cs="Arial" w:eastAsia="Arial" w:hAnsi="Arial"/>
          <w:i/>
          <w:iCs/>
          <w:color w:val="666666"/>
          <w:sz w:val="20"/>
          <w:szCs w:val="20"/>
        </w:rPr>
        <w:t xml:space="preserve">Phase 1 revenue of USD 15.2M from lot sales beginning September 2025 requires land purchase, planning permission, and lot release within approximately 6 months. This timeline is aggressive for Barbados. The financial model should be stress-tested with 6- and 12-month revenue delay scenarios (Risk T-01, rated HIGH).</w:t>
      </w:r>
    </w:p>
    <w:p>
      <w:pPr>
        <w:pStyle w:val="Heading2"/>
        <w:spacing w:after="160" w:before="240"/>
      </w:pPr>
      <w:r>
        <w:rPr>
          <w:rFonts w:ascii="Arial" w:cs="Arial" w:eastAsia="Arial" w:hAnsi="Arial"/>
          <w:b/>
          <w:bCs/>
          <w:color w:val="2E7D32"/>
          <w:sz w:val="26"/>
          <w:szCs w:val="26"/>
        </w:rPr>
        <w:t xml:space="preserve">5.1 Unit Mix Summary</w:t>
      </w:r>
    </w:p>
    <w:p>
      <w:pPr>
        <w:spacing w:after="120"/>
        <w:jc w:val="both"/>
      </w:pPr>
      <w:r>
        <w:rPr>
          <w:rFonts w:ascii="Arial" w:cs="Arial" w:eastAsia="Arial" w:hAnsi="Arial"/>
          <w:b w:val="false"/>
          <w:bCs w:val="false"/>
          <w:i w:val="false"/>
          <w:iCs w:val="false"/>
          <w:color w:val="000000"/>
          <w:sz w:val="20"/>
          <w:szCs w:val="20"/>
        </w:rPr>
        <w:t xml:space="preserve">The residential programme delivers approximately 355 units across four typologies: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300"/>
        <w:gridCol w:w="1300"/>
        <w:gridCol w:w="136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Beds</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13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(USD)</w:t>
            </w:r>
          </w:p>
        </w:tc>
        <w:tc>
          <w:tcPr>
            <w:tcW w:type="dxa" w:w="13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(BBD)</w:t>
            </w:r>
          </w:p>
        </w:tc>
        <w:tc>
          <w:tcPr>
            <w:tcW w:type="dxa" w:w="1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Condominiums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$200-250K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400-500K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Townhouses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$280-380K</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560-760K</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Family Homes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$350-500K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700K-1M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Executive Homes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$500-715K</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1M-1.43M</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w:t>
            </w:r>
          </w:p>
        </w:tc>
      </w:tr>
    </w:tbl>
    <w:p>
      <w:pPr>
        <w:spacing w:after="60"/>
      </w:pPr>
    </w:p>
    <w:p>
      <w:pPr>
        <w:pBdr>
          <w:left w:val="single" w:color="B8860B" w:sz="6" w:space="8"/>
        </w:pBdr>
        <w:spacing w:after="120" w:before="80"/>
        <w:ind w:left="200"/>
        <w:jc w:val="left"/>
      </w:pPr>
      <w:r>
        <w:rPr>
          <w:rFonts w:ascii="Arial" w:cs="Arial" w:eastAsia="Arial" w:hAnsi="Arial"/>
          <w:b/>
          <w:bCs/>
          <w:color w:val="B8860B"/>
          <w:sz w:val="20"/>
          <w:szCs w:val="20"/>
        </w:rPr>
        <w:t xml:space="preserve">FLAG: </w:t>
      </w:r>
      <w:r>
        <w:rPr>
          <w:rFonts w:ascii="Arial" w:cs="Arial" w:eastAsia="Arial" w:hAnsi="Arial"/>
          <w:i/>
          <w:iCs/>
          <w:color w:val="666666"/>
          <w:sz w:val="20"/>
          <w:szCs w:val="20"/>
        </w:rPr>
        <w:t xml:space="preserve">Upper-tier pricing (USD 500K-715K) is above documented Barbados mid-market comparables and overlaps with Apes Hill entry pricing. Luxury market validation for northern Barbados is outstanding (Risk M-01, rated HIGH). Recommendation: defer upper-tier releases until Phase 2 absorption confirms demand.</w:t>
      </w:r>
    </w:p>
    <w:p>
      <w:r>
        <w:br w:type="page"/>
      </w:r>
    </w:p>
    <w:p>
      <w:pPr>
        <w:pStyle w:val="Heading1"/>
        <w:spacing w:after="200" w:before="360"/>
      </w:pPr>
      <w:r>
        <w:rPr>
          <w:rFonts w:ascii="Arial" w:cs="Arial" w:eastAsia="Arial" w:hAnsi="Arial"/>
          <w:b/>
          <w:bCs/>
          <w:color w:val="1B5E20"/>
          <w:sz w:val="32"/>
          <w:szCs w:val="32"/>
        </w:rPr>
        <w:t xml:space="preserve">6. Financial Summary</w:t>
      </w:r>
    </w:p>
    <w:p>
      <w:pPr>
        <w:spacing w:after="120"/>
        <w:jc w:val="both"/>
      </w:pPr>
      <w:r>
        <w:rPr>
          <w:rFonts w:ascii="Arial" w:cs="Arial" w:eastAsia="Arial" w:hAnsi="Arial"/>
          <w:b w:val="false"/>
          <w:bCs w:val="false"/>
          <w:i w:val="false"/>
          <w:iCs w:val="false"/>
          <w:color w:val="000000"/>
          <w:sz w:val="20"/>
          <w:szCs w:val="20"/>
        </w:rPr>
        <w:t xml:space="preserve">The following financial overview is based on the developer's 2025-2028 Business Plan and Financial Breakdown, cross-referenced against independent market data. All figures are the developer's working assumptions unless otherwise noted.</w:t>
      </w:r>
    </w:p>
    <w:p>
      <w:pPr>
        <w:pStyle w:val="Heading2"/>
        <w:spacing w:after="160" w:before="240"/>
      </w:pPr>
      <w:r>
        <w:rPr>
          <w:rFonts w:ascii="Arial" w:cs="Arial" w:eastAsia="Arial" w:hAnsi="Arial"/>
          <w:b/>
          <w:bCs/>
          <w:color w:val="2E7D32"/>
          <w:sz w:val="26"/>
          <w:szCs w:val="26"/>
        </w:rPr>
        <w:t xml:space="preserve">6.1 Revenue and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2025</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2026</w:t>
            </w:r>
          </w:p>
        </w:tc>
        <w:tc>
          <w:tcPr>
            <w:tcW w:type="dxa" w:w="2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Revenue (USD)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$15.2M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$39.1M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$55.3M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Costs (USD)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$8.4M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$29.8M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$34.5M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Net Profit (USD)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$6.8M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$9.3M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$20.8M</w:t>
            </w:r>
          </w:p>
        </w:tc>
      </w:tr>
    </w:tbl>
    <w:p>
      <w:pPr>
        <w:spacing w:after="60"/>
      </w:pPr>
    </w:p>
    <w:p>
      <w:pPr>
        <w:pStyle w:val="Heading2"/>
        <w:spacing w:after="160" w:before="240"/>
      </w:pPr>
      <w:r>
        <w:rPr>
          <w:rFonts w:ascii="Arial" w:cs="Arial" w:eastAsia="Arial" w:hAnsi="Arial"/>
          <w:b/>
          <w:bCs/>
          <w:color w:val="2E7D32"/>
          <w:sz w:val="26"/>
          <w:szCs w:val="26"/>
        </w:rPr>
        <w:t xml:space="preserve">6.2 Return Metrics</w:t>
      </w:r>
    </w:p>
    <w:p>
      <w:pPr>
        <w:spacing w:after="120"/>
        <w:jc w:val="both"/>
      </w:pPr>
      <w:r>
        <w:rPr>
          <w:rFonts w:ascii="Arial" w:cs="Arial" w:eastAsia="Arial" w:hAnsi="Arial"/>
          <w:b w:val="false"/>
          <w:bCs w:val="false"/>
          <w:i w:val="false"/>
          <w:iCs w:val="false"/>
          <w:color w:val="000000"/>
          <w:sz w:val="20"/>
          <w:szCs w:val="20"/>
        </w:rPr>
        <w:t xml:space="preserve">The developer's base case projects the following return profile:</w:t>
      </w:r>
    </w:p>
    <w:p>
      <w:pPr>
        <w:spacing w:after="120"/>
        <w:jc w:val="both"/>
      </w:pPr>
      <w:r>
        <w:rPr>
          <w:rFonts w:ascii="Arial" w:cs="Arial" w:eastAsia="Arial" w:hAnsi="Arial"/>
          <w:b w:val="false"/>
          <w:bCs w:val="false"/>
          <w:i w:val="false"/>
          <w:iCs w:val="false"/>
          <w:color w:val="000000"/>
          <w:sz w:val="20"/>
          <w:szCs w:val="20"/>
        </w:rPr>
        <w:t xml:space="preserve">Total GDV: approximately USD 168.3 million (BBD 336.6 million) over the 48-month development period.</w:t>
      </w:r>
    </w:p>
    <w:p>
      <w:pPr>
        <w:spacing w:after="120"/>
        <w:jc w:val="both"/>
      </w:pPr>
      <w:r>
        <w:rPr>
          <w:rFonts w:ascii="Arial" w:cs="Arial" w:eastAsia="Arial" w:hAnsi="Arial"/>
          <w:b w:val="false"/>
          <w:bCs w:val="false"/>
          <w:i w:val="false"/>
          <w:iCs w:val="false"/>
          <w:color w:val="000000"/>
          <w:sz w:val="20"/>
          <w:szCs w:val="20"/>
        </w:rPr>
        <w:t xml:space="preserve">Total development cost: approximately USD 114.1 million (BBD 228.2 million), comprising land (USD 4.5M), construction, infrastructure, amenities, operating costs, and finance costs.</w:t>
      </w:r>
    </w:p>
    <w:p>
      <w:pPr>
        <w:spacing w:after="120"/>
        <w:jc w:val="both"/>
      </w:pPr>
      <w:r>
        <w:rPr>
          <w:rFonts w:ascii="Arial" w:cs="Arial" w:eastAsia="Arial" w:hAnsi="Arial"/>
          <w:b w:val="false"/>
          <w:bCs w:val="false"/>
          <w:i w:val="false"/>
          <w:iCs w:val="false"/>
          <w:color w:val="000000"/>
          <w:sz w:val="20"/>
          <w:szCs w:val="20"/>
        </w:rPr>
        <w:t xml:space="preserve">Net profit: approximately USD 46.9 million (BBD 93.8 million), representing a 28% average net margin.</w:t>
      </w:r>
    </w:p>
    <w:p>
      <w:pPr>
        <w:spacing w:after="120"/>
        <w:jc w:val="both"/>
      </w:pPr>
      <w:r>
        <w:rPr>
          <w:rFonts w:ascii="Arial" w:cs="Arial" w:eastAsia="Arial" w:hAnsi="Arial"/>
          <w:b w:val="false"/>
          <w:bCs w:val="false"/>
          <w:i w:val="false"/>
          <w:iCs w:val="false"/>
          <w:color w:val="000000"/>
          <w:sz w:val="20"/>
          <w:szCs w:val="20"/>
        </w:rPr>
        <w:t xml:space="preserve">Projected IRR: 18-25% unlevered, sensitivity dependent on pricing, absorption, construction costs, and interest rate assumptions.</w:t>
      </w:r>
    </w:p>
    <w:p>
      <w:pPr>
        <w:pStyle w:val="Heading2"/>
        <w:spacing w:after="160" w:before="240"/>
      </w:pPr>
      <w:r>
        <w:rPr>
          <w:rFonts w:ascii="Arial" w:cs="Arial" w:eastAsia="Arial" w:hAnsi="Arial"/>
          <w:b/>
          <w:bCs/>
          <w:color w:val="2E7D32"/>
          <w:sz w:val="26"/>
          <w:szCs w:val="26"/>
        </w:rPr>
        <w:t xml:space="preserve">6.3 Sensitivity Analysis</w:t>
      </w:r>
    </w:p>
    <w:p>
      <w:pPr>
        <w:spacing w:after="120"/>
        <w:jc w:val="both"/>
      </w:pPr>
      <w:r>
        <w:rPr>
          <w:rFonts w:ascii="Arial" w:cs="Arial" w:eastAsia="Arial" w:hAnsi="Arial"/>
          <w:b w:val="false"/>
          <w:bCs w:val="false"/>
          <w:i w:val="false"/>
          <w:iCs w:val="false"/>
          <w:color w:val="000000"/>
          <w:sz w:val="20"/>
          <w:szCs w:val="20"/>
        </w:rPr>
        <w:t xml:space="preserve">The following sensitivities illustrate the impact of key variable changes on the base case net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Downside</w:t>
            </w:r>
          </w:p>
        </w:tc>
        <w:tc>
          <w:tcPr>
            <w:tcW w:type="dxa" w:w="2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w:t>
            </w:r>
          </w:p>
        </w:tc>
        <w:tc>
          <w:tcPr>
            <w:tcW w:type="dxa" w:w="2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Upside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Residential pricing</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$36.0M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$46.9M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$57.8M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Construction cost</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 $33.8M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$46.9M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$60.2M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Interest rate on facility</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$39.1M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$46.9M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$49.5M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Absorption delay (12mo)</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$38.5M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$46.9M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w:t>
            </w:r>
          </w:p>
        </w:tc>
      </w:tr>
    </w:tbl>
    <w:p>
      <w:pPr>
        <w:spacing w:after="60"/>
      </w:pPr>
    </w:p>
    <w:p>
      <w:pPr>
        <w:spacing w:after="120"/>
        <w:jc w:val="both"/>
      </w:pPr>
      <w:r>
        <w:rPr>
          <w:rFonts w:ascii="Arial" w:cs="Arial" w:eastAsia="Arial" w:hAnsi="Arial"/>
          <w:b w:val="false"/>
          <w:bCs w:val="false"/>
          <w:i/>
          <w:iCs/>
          <w:color w:val="666666"/>
          <w:sz w:val="20"/>
          <w:szCs w:val="20"/>
        </w:rPr>
        <w:t xml:space="preserve">Modelled assumptions. Sensitivity analysis uses linear adjustments to the developer's base case. A full financial model with quarterly cash flows is provided in MBE_E3_FinancialModel_v2.0.xlsx.</w:t>
      </w:r>
    </w:p>
    <w:p>
      <w:r>
        <w:br w:type="page"/>
      </w:r>
    </w:p>
    <w:p>
      <w:pPr>
        <w:pStyle w:val="Heading1"/>
        <w:spacing w:after="200" w:before="360"/>
      </w:pPr>
      <w:r>
        <w:rPr>
          <w:rFonts w:ascii="Arial" w:cs="Arial" w:eastAsia="Arial" w:hAnsi="Arial"/>
          <w:b/>
          <w:bCs/>
          <w:color w:val="1B5E20"/>
          <w:sz w:val="32"/>
          <w:szCs w:val="32"/>
        </w:rPr>
        <w:t xml:space="preserve">7. Capital Structure</w:t>
      </w:r>
    </w:p>
    <w:p>
      <w:pPr>
        <w:spacing w:after="120"/>
        <w:jc w:val="both"/>
      </w:pPr>
      <w:r>
        <w:rPr>
          <w:rFonts w:ascii="Arial" w:cs="Arial" w:eastAsia="Arial" w:hAnsi="Arial"/>
          <w:b w:val="false"/>
          <w:bCs w:val="false"/>
          <w:i w:val="false"/>
          <w:iCs w:val="false"/>
          <w:color w:val="000000"/>
          <w:sz w:val="20"/>
          <w:szCs w:val="20"/>
        </w:rPr>
        <w:t xml:space="preserve">Infinity Developers Inc seeks USD 57 million in financing from a strategic partner to fund land acquisition, construction, infrastructure, and operating costs through to sales repayment. The proposed structure comprises:</w:t>
      </w:r>
    </w:p>
    <w:p>
      <w:pPr>
        <w:pStyle w:val="Heading2"/>
        <w:spacing w:after="160" w:before="240"/>
      </w:pPr>
      <w:r>
        <w:rPr>
          <w:rFonts w:ascii="Arial" w:cs="Arial" w:eastAsia="Arial" w:hAnsi="Arial"/>
          <w:b/>
          <w:bCs/>
          <w:color w:val="2E7D32"/>
          <w:sz w:val="26"/>
          <w:szCs w:val="26"/>
        </w:rPr>
        <w:t xml:space="preserve">7.1 Loan Facility</w:t>
      </w:r>
    </w:p>
    <w:p>
      <w:pPr>
        <w:spacing w:after="120"/>
        <w:jc w:val="both"/>
      </w:pPr>
      <w:r>
        <w:rPr>
          <w:rFonts w:ascii="Arial" w:cs="Arial" w:eastAsia="Arial" w:hAnsi="Arial"/>
          <w:b w:val="false"/>
          <w:bCs w:val="false"/>
          <w:i w:val="false"/>
          <w:iCs w:val="false"/>
          <w:color w:val="000000"/>
          <w:sz w:val="20"/>
          <w:szCs w:val="20"/>
        </w:rPr>
        <w:t xml:space="preserve">Principal: USD 57.0 million (BBD 114.0 million).</w:t>
      </w:r>
    </w:p>
    <w:p>
      <w:pPr>
        <w:spacing w:after="120"/>
        <w:jc w:val="both"/>
      </w:pPr>
      <w:r>
        <w:rPr>
          <w:rFonts w:ascii="Arial" w:cs="Arial" w:eastAsia="Arial" w:hAnsi="Arial"/>
          <w:b w:val="false"/>
          <w:bCs w:val="false"/>
          <w:i w:val="false"/>
          <w:iCs w:val="false"/>
          <w:color w:val="000000"/>
          <w:sz w:val="20"/>
          <w:szCs w:val="20"/>
        </w:rPr>
        <w:t xml:space="preserve">Proposed interest rate: 5.0% per annum.</w:t>
      </w:r>
    </w:p>
    <w:p>
      <w:pPr>
        <w:spacing w:after="120"/>
        <w:jc w:val="both"/>
      </w:pPr>
      <w:r>
        <w:rPr>
          <w:rFonts w:ascii="Arial" w:cs="Arial" w:eastAsia="Arial" w:hAnsi="Arial"/>
          <w:b w:val="false"/>
          <w:bCs w:val="false"/>
          <w:i w:val="false"/>
          <w:iCs w:val="false"/>
          <w:color w:val="000000"/>
          <w:sz w:val="20"/>
          <w:szCs w:val="20"/>
        </w:rPr>
        <w:t xml:space="preserve">Term: 48 months, aligned with the development programme.</w:t>
      </w:r>
    </w:p>
    <w:p>
      <w:pPr>
        <w:spacing w:after="120"/>
        <w:jc w:val="both"/>
      </w:pPr>
      <w:r>
        <w:rPr>
          <w:rFonts w:ascii="Arial" w:cs="Arial" w:eastAsia="Arial" w:hAnsi="Arial"/>
          <w:b w:val="false"/>
          <w:bCs w:val="false"/>
          <w:i w:val="false"/>
          <w:iCs w:val="false"/>
          <w:color w:val="000000"/>
          <w:sz w:val="20"/>
          <w:szCs w:val="20"/>
        </w:rPr>
        <w:t xml:space="preserve">Security: to be negotiated. Expected to include a charge over the development site, assignment of sales proceeds, and corporate guarantee from Infinity Developers Inc.</w:t>
      </w:r>
    </w:p>
    <w:p>
      <w:pPr>
        <w:spacing w:after="120"/>
        <w:jc w:val="both"/>
      </w:pPr>
      <w:r>
        <w:rPr>
          <w:rFonts w:ascii="Arial" w:cs="Arial" w:eastAsia="Arial" w:hAnsi="Arial"/>
          <w:b w:val="false"/>
          <w:bCs w:val="false"/>
          <w:i w:val="false"/>
          <w:iCs w:val="false"/>
          <w:color w:val="000000"/>
          <w:sz w:val="20"/>
          <w:szCs w:val="20"/>
        </w:rPr>
        <w:t xml:space="preserve">Repayment: from residential sales proceeds commencing Phase 1 lot sales (2025) through to final unit sales (2028).</w:t>
      </w:r>
    </w:p>
    <w:p>
      <w:pPr>
        <w:pBdr>
          <w:left w:val="single" w:color="B8860B" w:sz="6" w:space="8"/>
        </w:pBdr>
        <w:spacing w:after="120" w:before="80"/>
        <w:ind w:left="200"/>
        <w:jc w:val="left"/>
      </w:pPr>
      <w:r>
        <w:rPr>
          <w:rFonts w:ascii="Arial" w:cs="Arial" w:eastAsia="Arial" w:hAnsi="Arial"/>
          <w:b/>
          <w:bCs/>
          <w:color w:val="B8860B"/>
          <w:sz w:val="20"/>
          <w:szCs w:val="20"/>
        </w:rPr>
        <w:t xml:space="preserve">FLAG: </w:t>
      </w:r>
      <w:r>
        <w:rPr>
          <w:rFonts w:ascii="Arial" w:cs="Arial" w:eastAsia="Arial" w:hAnsi="Arial"/>
          <w:i/>
          <w:iCs/>
          <w:color w:val="666666"/>
          <w:sz w:val="20"/>
          <w:szCs w:val="20"/>
        </w:rPr>
        <w:t xml:space="preserve">The proposed 5.0% interest rate is below Barbados commercial lending rates of 6-9% (Central Bank of Barbados, 2024). This suggests either a non-commercial strategic facility, concessional financing, or an international lender outside the Barbados banking system. The lender type and rate basis require confirmation. The financial model includes sensitivity at 6%, 7%, and 8% to quantify the impact on net returns.</w:t>
      </w:r>
    </w:p>
    <w:p>
      <w:pPr>
        <w:pStyle w:val="Heading2"/>
        <w:spacing w:after="160" w:before="240"/>
      </w:pPr>
      <w:r>
        <w:rPr>
          <w:rFonts w:ascii="Arial" w:cs="Arial" w:eastAsia="Arial" w:hAnsi="Arial"/>
          <w:b/>
          <w:bCs/>
          <w:color w:val="2E7D32"/>
          <w:sz w:val="26"/>
          <w:szCs w:val="26"/>
        </w:rPr>
        <w:t xml:space="preserve">7.2 Equity Participation</w:t>
      </w:r>
    </w:p>
    <w:p>
      <w:pPr>
        <w:spacing w:after="120"/>
        <w:jc w:val="both"/>
      </w:pPr>
      <w:r>
        <w:rPr>
          <w:rFonts w:ascii="Arial" w:cs="Arial" w:eastAsia="Arial" w:hAnsi="Arial"/>
          <w:b w:val="false"/>
          <w:bCs w:val="false"/>
          <w:i w:val="false"/>
          <w:iCs w:val="false"/>
          <w:color w:val="000000"/>
          <w:sz w:val="20"/>
          <w:szCs w:val="20"/>
        </w:rPr>
        <w:t xml:space="preserve">The developer has indicated willingness to offer equity participation to the financing partner, with the percentage to be negotiated. Equity participation would provide upside exposure to the development's profitability beyond the fixed return on the loan facility. Governance, board representation, and reporting rights associated with equity participation are subject to negotiation.</w:t>
      </w:r>
    </w:p>
    <w:p>
      <w:pPr>
        <w:pStyle w:val="Heading2"/>
        <w:spacing w:after="160" w:before="240"/>
      </w:pPr>
      <w:r>
        <w:rPr>
          <w:rFonts w:ascii="Arial" w:cs="Arial" w:eastAsia="Arial" w:hAnsi="Arial"/>
          <w:b/>
          <w:bCs/>
          <w:color w:val="2E7D32"/>
          <w:sz w:val="26"/>
          <w:szCs w:val="26"/>
        </w:rPr>
        <w:t xml:space="preserve">7.3 Draw Schedule Summary</w:t>
      </w:r>
    </w:p>
    <w:p>
      <w:pPr>
        <w:spacing w:after="120"/>
        <w:jc w:val="both"/>
      </w:pPr>
      <w:r>
        <w:rPr>
          <w:rFonts w:ascii="Arial" w:cs="Arial" w:eastAsia="Arial" w:hAnsi="Arial"/>
          <w:b w:val="false"/>
          <w:bCs w:val="false"/>
          <w:i w:val="false"/>
          <w:iCs w:val="false"/>
          <w:color w:val="000000"/>
          <w:sz w:val="20"/>
          <w:szCs w:val="20"/>
        </w:rPr>
        <w:t xml:space="preserve">Capital deployment follows the project draw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Draw (USD)</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Cumulative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Milestone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$12.5M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$12.5M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Land, site prep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$39.1M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$51.6M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Peak construction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2027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$5.4M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$57.0M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draw</w:t>
            </w:r>
          </w:p>
        </w:tc>
      </w:tr>
    </w:tbl>
    <w:p>
      <w:pPr>
        <w:spacing w:after="60"/>
      </w:pPr>
    </w:p>
    <w:p>
      <w:pPr>
        <w:spacing w:after="120"/>
        <w:jc w:val="both"/>
      </w:pPr>
      <w:r>
        <w:rPr>
          <w:rFonts w:ascii="Arial" w:cs="Arial" w:eastAsia="Arial" w:hAnsi="Arial"/>
          <w:b w:val="false"/>
          <w:bCs w:val="false"/>
          <w:i w:val="false"/>
          <w:iCs w:val="false"/>
          <w:color w:val="000000"/>
          <w:sz w:val="20"/>
          <w:szCs w:val="20"/>
        </w:rPr>
        <w:t xml:space="preserve">Peak capital deployment occurs in 2026 at USD 39.1 million. Any cost overrun or revenue delay in this year concentrates cash pressure on the facility (Risk F-04, rated HIGH).</w:t>
      </w:r>
    </w:p>
    <w:p>
      <w:r>
        <w:br w:type="page"/>
      </w:r>
    </w:p>
    <w:p>
      <w:pPr>
        <w:pStyle w:val="Heading1"/>
        <w:spacing w:after="200" w:before="360"/>
      </w:pPr>
      <w:r>
        <w:rPr>
          <w:rFonts w:ascii="Arial" w:cs="Arial" w:eastAsia="Arial" w:hAnsi="Arial"/>
          <w:b/>
          <w:bCs/>
          <w:color w:val="1B5E20"/>
          <w:sz w:val="32"/>
          <w:szCs w:val="32"/>
        </w:rPr>
        <w:t xml:space="preserve">8. Risk Factors</w:t>
      </w:r>
    </w:p>
    <w:p>
      <w:pPr>
        <w:spacing w:after="120"/>
        <w:jc w:val="both"/>
      </w:pPr>
      <w:r>
        <w:rPr>
          <w:rFonts w:ascii="Arial" w:cs="Arial" w:eastAsia="Arial" w:hAnsi="Arial"/>
          <w:b w:val="false"/>
          <w:bCs w:val="false"/>
          <w:i w:val="false"/>
          <w:iCs w:val="false"/>
          <w:color w:val="000000"/>
          <w:sz w:val="20"/>
          <w:szCs w:val="20"/>
        </w:rPr>
        <w:t xml:space="preserve">The Phase 1 risk analysis identified 32 risks across 7 categories. The following table presents the top 10 risks by severity, with mitigation actions. The full risk register is provided in MBE_F1_RiskRegister_v2.0.xlsx.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3760"/>
      </w:tblGrid>
      <w:tr>
        <w:tc>
          <w:tcPr>
            <w:tcW w:type="dxa" w:w="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Ref</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Rating</w:t>
            </w:r>
          </w:p>
        </w:tc>
        <w:tc>
          <w:tcPr>
            <w:tcW w:type="dxa" w:w="3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interest rate below market; if commercial, profit compresses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D32F2F"/>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 lender type and rate basis. Model at 6-8%.</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O-02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 Range format, capex, operator terms undocumented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D32F2F"/>
                <w:sz w:val="20"/>
                <w:szCs w:val="20"/>
              </w:rPr>
              <w:t xml:space="preserve">CRITICAL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Developer to provide X Range specifications and term sheet.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Agricultural land conversion refused for X Range and solar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Pre-application with TCPD/Ministry of Agriculture. Prepare agrivoltaic study. Identify fallback location.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P-03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Mandatory EIA takes 6-12 months; delays programme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Engage environmental consultant immediately. Begin baseline studies in parallel.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20-30% construction cost savings unverified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Independent QS estimate. Base case at BCQS benchmarks.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M-01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Upper-tier pricing above mid-market comparables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Commission luxury market study. Defer upper-tier until data confirms demand.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2025 revenue assumes lot sales from Sept; 6-month timeline aggressive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Stress-test with 6/12-month delay. Do not commit draws until pre-sales secured.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C-03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Proprietary building tech fails to deliver claimed advantages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Technology pilot on model home. Revert to conventional if underperforms.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Hurricane/tropical storm damage during construction or operation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Design to Barbados Building Code wind loads. Comprehensive insurance.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F-04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Peak 2026 draw of $39M; cost overrun concentrates cash pressure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10-15% contingency in draw schedule. 3-month liquidity buffer.</w:t>
            </w:r>
          </w:p>
        </w:tc>
      </w:tr>
    </w:tbl>
    <w:p>
      <w:pPr>
        <w:spacing w:after="60"/>
      </w:pPr>
    </w:p>
    <w:p>
      <w:r>
        <w:br w:type="page"/>
      </w:r>
    </w:p>
    <w:p>
      <w:pPr>
        <w:pStyle w:val="Heading1"/>
        <w:spacing w:after="200" w:before="360"/>
      </w:pPr>
      <w:r>
        <w:rPr>
          <w:rFonts w:ascii="Arial" w:cs="Arial" w:eastAsia="Arial" w:hAnsi="Arial"/>
          <w:b/>
          <w:bCs/>
          <w:color w:val="1B5E20"/>
          <w:sz w:val="32"/>
          <w:szCs w:val="32"/>
        </w:rPr>
        <w:t xml:space="preserve">9. Management Team</w:t>
      </w:r>
    </w:p>
    <w:p>
      <w:pPr>
        <w:spacing w:after="120"/>
        <w:jc w:val="both"/>
      </w:pPr>
      <w:r>
        <w:rPr>
          <w:rFonts w:ascii="Arial" w:cs="Arial" w:eastAsia="Arial" w:hAnsi="Arial"/>
          <w:b w:val="false"/>
          <w:bCs w:val="false"/>
          <w:i w:val="false"/>
          <w:iCs w:val="false"/>
          <w:color w:val="000000"/>
          <w:sz w:val="20"/>
          <w:szCs w:val="20"/>
        </w:rPr>
        <w:t xml:space="preserve">The development is led by Infinity Developers Inc (Ltd, Barbados). The company has structured the Mount Brevitor Estate as its flagship project. The developer has assembled a business plan covering company strategy, financial projections, and development programme for the 2025-2028 period.</w:t>
      </w:r>
    </w:p>
    <w:p>
      <w:pPr>
        <w:pBdr>
          <w:left w:val="single" w:color="B8860B" w:sz="6" w:space="8"/>
        </w:pBdr>
        <w:spacing w:after="120" w:before="80"/>
        <w:ind w:left="200"/>
        <w:jc w:val="left"/>
      </w:pPr>
      <w:r>
        <w:rPr>
          <w:rFonts w:ascii="Arial" w:cs="Arial" w:eastAsia="Arial" w:hAnsi="Arial"/>
          <w:b/>
          <w:bCs/>
          <w:color w:val="B8860B"/>
          <w:sz w:val="20"/>
          <w:szCs w:val="20"/>
        </w:rPr>
        <w:t xml:space="preserve">FLAG: </w:t>
      </w:r>
      <w:r>
        <w:rPr>
          <w:rFonts w:ascii="Arial" w:cs="Arial" w:eastAsia="Arial" w:hAnsi="Arial"/>
          <w:i/>
          <w:iCs/>
          <w:color w:val="666666"/>
          <w:sz w:val="20"/>
          <w:szCs w:val="20"/>
        </w:rPr>
        <w:t xml:space="preserve">Development entity ownership structure is TBD (Risk F-06, rated MEDIUM). Delays in structuring the SPV or holding company could impede loan drawdown, land transfer, or investor onboarding. Corporate counsel should establish the SPV structure before first draw.</w:t>
      </w:r>
    </w:p>
    <w:p>
      <w:pPr>
        <w:spacing w:after="120"/>
        <w:jc w:val="both"/>
      </w:pPr>
      <w:r>
        <w:rPr>
          <w:rFonts w:ascii="Arial" w:cs="Arial" w:eastAsia="Arial" w:hAnsi="Arial"/>
          <w:b w:val="false"/>
          <w:bCs w:val="false"/>
          <w:i w:val="false"/>
          <w:iCs w:val="false"/>
          <w:color w:val="000000"/>
          <w:sz w:val="20"/>
          <w:szCs w:val="20"/>
        </w:rPr>
        <w:t xml:space="preserve">Detailed management team biographies and organisational structure are available in the Infinity Developers Inc 2025 Business Plan, provided separately.</w:t>
      </w:r>
    </w:p>
    <w:p>
      <w:r>
        <w:br w:type="page"/>
      </w:r>
    </w:p>
    <w:p>
      <w:pPr>
        <w:pStyle w:val="Heading1"/>
        <w:spacing w:after="200" w:before="360"/>
      </w:pPr>
      <w:r>
        <w:rPr>
          <w:rFonts w:ascii="Arial" w:cs="Arial" w:eastAsia="Arial" w:hAnsi="Arial"/>
          <w:b/>
          <w:bCs/>
          <w:color w:val="1B5E20"/>
          <w:sz w:val="32"/>
          <w:szCs w:val="32"/>
        </w:rPr>
        <w:t xml:space="preserve">10. Appendices</w:t>
      </w:r>
    </w:p>
    <w:p>
      <w:pPr>
        <w:spacing w:after="120"/>
        <w:jc w:val="both"/>
      </w:pPr>
      <w:r>
        <w:rPr>
          <w:rFonts w:ascii="Arial" w:cs="Arial" w:eastAsia="Arial" w:hAnsi="Arial"/>
          <w:b w:val="false"/>
          <w:bCs w:val="false"/>
          <w:i w:val="false"/>
          <w:iCs w:val="false"/>
          <w:color w:val="000000"/>
          <w:sz w:val="20"/>
          <w:szCs w:val="20"/>
        </w:rPr>
        <w:t xml:space="preserve">The following documents accompany this Investment Memorandum:</w:t>
      </w:r>
    </w:p>
    <w:p>
      <w:pPr>
        <w:spacing w:after="120"/>
        <w:jc w:val="both"/>
      </w:pPr>
      <w:r>
        <w:rPr>
          <w:rFonts w:ascii="Arial" w:cs="Arial" w:eastAsia="Arial" w:hAnsi="Arial"/>
          <w:b w:val="false"/>
          <w:bCs w:val="false"/>
          <w:i w:val="false"/>
          <w:iCs w:val="false"/>
          <w:color w:val="000000"/>
          <w:sz w:val="20"/>
          <w:szCs w:val="20"/>
        </w:rPr>
        <w:t xml:space="preserve">A. MBE_E3_FinancialModel_v2.0.xlsx: Consolidated financial model with assumptions, revenue, cost, cash flow, sensitivity analysis, and farm P&amp;L.</w:t>
      </w:r>
    </w:p>
    <w:p>
      <w:pPr>
        <w:spacing w:after="120"/>
        <w:jc w:val="both"/>
      </w:pPr>
      <w:r>
        <w:rPr>
          <w:rFonts w:ascii="Arial" w:cs="Arial" w:eastAsia="Arial" w:hAnsi="Arial"/>
          <w:b w:val="false"/>
          <w:bCs w:val="false"/>
          <w:i w:val="false"/>
          <w:iCs w:val="false"/>
          <w:color w:val="000000"/>
          <w:sz w:val="20"/>
          <w:szCs w:val="20"/>
        </w:rPr>
        <w:t xml:space="preserve">B. MBE_F1_RiskRegister_v2.0.xlsx: Full risk register with 32+ risks, mitigation actions, owners, status, and target completion dates.</w:t>
      </w:r>
    </w:p>
    <w:p>
      <w:pPr>
        <w:spacing w:after="120"/>
        <w:jc w:val="both"/>
      </w:pPr>
      <w:r>
        <w:rPr>
          <w:rFonts w:ascii="Arial" w:cs="Arial" w:eastAsia="Arial" w:hAnsi="Arial"/>
          <w:b w:val="false"/>
          <w:bCs w:val="false"/>
          <w:i w:val="false"/>
          <w:iCs w:val="false"/>
          <w:color w:val="000000"/>
          <w:sz w:val="20"/>
          <w:szCs w:val="20"/>
        </w:rPr>
        <w:t xml:space="preserve">C. MBE_E4_InvestorPresentation_v2.0.pptx: 15-20 slide investor presentation deck.</w:t>
      </w:r>
    </w:p>
    <w:p>
      <w:pPr>
        <w:spacing w:after="120"/>
        <w:jc w:val="both"/>
      </w:pPr>
      <w:r>
        <w:rPr>
          <w:rFonts w:ascii="Arial" w:cs="Arial" w:eastAsia="Arial" w:hAnsi="Arial"/>
          <w:b w:val="false"/>
          <w:bCs w:val="false"/>
          <w:i w:val="false"/>
          <w:iCs w:val="false"/>
          <w:color w:val="000000"/>
          <w:sz w:val="20"/>
          <w:szCs w:val="20"/>
        </w:rPr>
        <w:t xml:space="preserve">D. Project Draw Schedule (developer source document): USD 57M facility deployment timeline.</w:t>
      </w:r>
    </w:p>
    <w:p>
      <w:pPr>
        <w:spacing w:after="120"/>
        <w:jc w:val="both"/>
      </w:pPr>
      <w:r>
        <w:rPr>
          <w:rFonts w:ascii="Arial" w:cs="Arial" w:eastAsia="Arial" w:hAnsi="Arial"/>
          <w:b w:val="false"/>
          <w:bCs w:val="false"/>
          <w:i w:val="false"/>
          <w:iCs w:val="false"/>
          <w:color w:val="000000"/>
          <w:sz w:val="20"/>
          <w:szCs w:val="20"/>
        </w:rPr>
        <w:t xml:space="preserve">E. Plot Plan and aerial site photographs (developer source documents).</w:t>
      </w:r>
    </w:p>
    <w:p>
      <w:pPr>
        <w:pStyle w:val="Heading2"/>
        <w:spacing w:after="160" w:before="240"/>
      </w:pPr>
      <w:r>
        <w:rPr>
          <w:rFonts w:ascii="Arial" w:cs="Arial" w:eastAsia="Arial" w:hAnsi="Arial"/>
          <w:b/>
          <w:bCs/>
          <w:color w:val="2E7D32"/>
          <w:sz w:val="26"/>
          <w:szCs w:val="26"/>
        </w:rPr>
        <w:t xml:space="preserve">Critical Open Items Register</w:t>
      </w:r>
    </w:p>
    <w:p>
      <w:pPr>
        <w:spacing w:after="120"/>
        <w:jc w:val="both"/>
      </w:pPr>
      <w:r>
        <w:rPr>
          <w:rFonts w:ascii="Arial" w:cs="Arial" w:eastAsia="Arial" w:hAnsi="Arial"/>
          <w:b w:val="false"/>
          <w:bCs w:val="false"/>
          <w:i w:val="false"/>
          <w:iCs w:val="false"/>
          <w:color w:val="000000"/>
          <w:sz w:val="20"/>
          <w:szCs w:val="20"/>
        </w:rPr>
        <w:t xml:space="preserve">The following items remain unresolved and are flagged throughout this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Open Item</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Parish and exact site location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workstreams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confirmed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Zoning classification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Planning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confirmed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Agricultural land conversion consent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Golf, Energy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commenced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 Range format, footprint, capex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Golf, Financial Model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documented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USD 57M facility lender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Capital 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Unconfirmed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Construction cost savings verification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Financial Model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verified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Luxury pricing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Residential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Outstanding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Development entity structure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Legal, Capital Raising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TBD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Farm business model confirmation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Agri-Estate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Recommended, not confirmed</w:t>
            </w:r>
          </w:p>
        </w:tc>
      </w:tr>
    </w:tbl>
    <w:p>
      <w:pPr>
        <w:spacing w:after="60"/>
      </w:pPr>
    </w:p>
    <w:p>
      <w:pPr>
        <w:spacing w:before="400"/>
      </w:pPr>
    </w:p>
    <w:p>
      <w:pPr>
        <w:pBdr>
          <w:top w:val="single" w:color="B8860B" w:sz="2" w:space="10"/>
        </w:pBdr>
        <w:spacing w:before="200"/>
        <w:jc w:val="center"/>
      </w:pPr>
      <w:r>
        <w:rPr>
          <w:rFonts w:ascii="Arial" w:cs="Arial" w:eastAsia="Arial" w:hAnsi="Arial"/>
          <w:i/>
          <w:iCs/>
          <w:color w:val="666666"/>
          <w:sz w:val="20"/>
          <w:szCs w:val="20"/>
        </w:rPr>
        <w:t xml:space="preserve">END OF INVESTMENT MEMORANDUM</w:t>
      </w:r>
    </w:p>
    <w:p>
      <w:pPr>
        <w:spacing w:after="60"/>
        <w:jc w:val="center"/>
      </w:pPr>
      <w:r>
        <w:rPr>
          <w:rFonts w:ascii="Arial" w:cs="Arial" w:eastAsia="Arial" w:hAnsi="Arial"/>
          <w:color w:val="666666"/>
          <w:sz w:val="18"/>
          <w:szCs w:val="18"/>
        </w:rPr>
        <w:t xml:space="preserve">Mount Brevitor Estate Development  |  Infinity Developers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Infinity Developers Inc  |  March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2" w:space="4"/>
      </w:pBdr>
      <w:tabs>
        <w:tab w:val="right" w:pos="9026"/>
      </w:tabs>
    </w:pPr>
    <w:r>
      <w:rPr>
        <w:rFonts w:ascii="Arial" w:cs="Arial" w:eastAsia="Arial" w:hAnsi="Arial"/>
        <w:color w:val="666666"/>
        <w:sz w:val="16"/>
        <w:szCs w:val="16"/>
      </w:rPr>
      <w:t xml:space="preserve">Mount Brevitor Estate  |  Investment Memorandum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2026-03-05T01:40:21.965Z</dcterms:created>
  <dcterms:modified xsi:type="dcterms:W3CDTF">2026-03-05T01:40:21.966Z</dcterms:modified>
</cp:coreProperties>
</file>

<file path=docProps/custom.xml><?xml version="1.0" encoding="utf-8"?>
<Properties xmlns="http://schemas.openxmlformats.org/officeDocument/2006/custom-properties" xmlns:vt="http://schemas.openxmlformats.org/officeDocument/2006/docPropsVTypes"/>
</file>