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B5E20"/>
          <w:sz w:val="56"/>
          <w:szCs w:val="56"/>
        </w:rPr>
        <w:t xml:space="preserve">MOUNT BREVITOR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2E7D32"/>
          <w:sz w:val="44"/>
          <w:szCs w:val="44"/>
        </w:rPr>
        <w:t xml:space="preserve">ESTATE DEVELOPMENT</w:t>
      </w:r>
    </w:p>
    <w:p>
      <w:pPr>
        <w:pBdr>
          <w:top w:val="single" w:color="B8860B" w:sz="6" w:space="8"/>
          <w:bottom w:val="single" w:color="B8860B" w:sz="6" w:space="8"/>
        </w:pBdr>
        <w:spacing w:after="80"/>
        <w:jc w:val="center"/>
      </w:pPr>
      <w:r>
        <w:rPr>
          <w:rFonts w:ascii="Georgia" w:cs="Georgia" w:eastAsia="Georgia" w:hAnsi="Georgia"/>
          <w:color w:val="B8860B"/>
          <w:sz w:val="26"/>
          <w:szCs w:val="26"/>
        </w:rPr>
        <w:t xml:space="preserve">Residential Cluster Configuration and Revenue Projection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Workstream B  |  Document v2.0  |  March 2025  |  CONFIDENTIAL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Infinity Developers Inc (Ltd, Barbados)</w:t>
      </w:r>
    </w:p>
    <w:p>
      <w:r>
        <w:br w:type="page"/>
      </w:r>
    </w:p>
    <w:p>
      <w:pPr>
        <w:pStyle w:val="Heading1"/>
      </w:pPr>
      <w:r>
        <w:t xml:space="preserve">1. Cluster Configuration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355 residential units are organised into five clusters, each targeting a specific market segment and product type. Clusters are phased to front-load affordable and mid-range product (where demand is strongest and most evidenced) and defer upper-tier product until market data from earlier phases confirms willingness to pay.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700"/>
        <w:gridCol w:w="2100"/>
        <w:gridCol w:w="2560"/>
        <w:gridCol w:w="1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Density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 - Entry/Mid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100-110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1-bed condos, 2-bed townhouses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Barbadian first-time buyers, regional investors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7-8 units/acre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 - Mid-Range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90-100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2-bed and 3-bed townhouses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upgraders, diaspora return buyers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6-7 units/acre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 - Mid-Upper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70-80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3-bed townhouses, some 4-bed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Established families, diaspora, international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6-7 units/acre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 - Upper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45-55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4-bed homes, bungalows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Upper-income local, international lifestyle buyers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4-5 units/acre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 - Premium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5-bed estate homes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International, diaspora, HNW local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 units/acre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55-60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355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~6 avg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Cluster A and B (entry and mid-range) account for 190-210 units, or 54-59% of total supply. These clusters target the strongest demand segment (local Barbadian buyers, BBD 440,000 to BBD 623,700) and are released in Phases 1 and 2 to generate early revenue and establish the estate.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Clusters D and E (upper and premium) account for 75-95 units, or 21-27% of total supply. These are deferred to Phases 3 and 4.</w:t>
      </w:r>
    </w:p>
    <w:p>
      <w:pPr>
        <w:shd w:fill="FFF8E1" w:val="clear"/>
        <w:spacing w:after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FLAG: </w:t>
      </w:r>
      <w:r>
        <w:rPr>
          <w:rFonts w:ascii="Arial" w:cs="Arial" w:eastAsia="Arial" w:hAnsi="Arial"/>
          <w:sz w:val="22"/>
          <w:szCs w:val="22"/>
        </w:rPr>
        <w:t xml:space="preserve">Upper-tier pricing (USD 440,000 to USD 715,000 for 4-5 bed homes) is above documented mid-market comparables in northern Barbados. Demand at this level is unverified. Do not commit Cluster D and E construction capital until Phase 2 absorption data confirms buyer willingness to pay above USD 350,000.</w:t>
      </w:r>
    </w:p>
    <w:p>
      <w:pPr>
        <w:pStyle w:val="Heading1"/>
      </w:pPr>
      <w:r>
        <w:t xml:space="preserve">2. Unit Mix and Pricing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"/>
        <w:gridCol w:w="900"/>
        <w:gridCol w:w="600"/>
        <w:gridCol w:w="1060"/>
        <w:gridCol w:w="960"/>
        <w:gridCol w:w="600"/>
        <w:gridCol w:w="700"/>
        <w:gridCol w:w="1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(sq ft)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BBD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USD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Rev BBD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600-700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440,000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220,000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35,200,000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Townhouse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850-950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560,000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280,000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A/B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53,200,000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Townhouse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1,100-1,200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623,700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311,850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B/C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53,014,500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Bungalow/Home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1,500-1,800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880,000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440,000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48,400,000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Estate Home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2,200-2,800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1,430,000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715,000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57,200,000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355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A-E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247,014,500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Total gross residential revenue: BBD 247,014,500 (USD 123,507,250). This is residential sales only and excludes non-residential revenue streams (farm, golf, commercial, solar, amenity fees).</w:t>
      </w:r>
    </w:p>
    <w:p>
      <w:r>
        <w:br w:type="page"/>
      </w:r>
    </w:p>
    <w:p>
      <w:pPr>
        <w:pStyle w:val="Heading1"/>
      </w:pPr>
      <w:r>
        <w:t xml:space="preserve">3. Revenue Projection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800"/>
        <w:gridCol w:w="1400"/>
        <w:gridCol w:w="1400"/>
        <w:gridCol w:w="900"/>
        <w:gridCol w:w="1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BBD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USD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Cum. Units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Cum. Rev BBD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 2025 - Q2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80-90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42,600,000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21,300,000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80-90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42,600,000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 2026 - Q2 2027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100-120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32,750,000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180-210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108,100,000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 2027 - Q2 2028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68,200,000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34,100,000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265-310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176,300,000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 2028 - Q4 2028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45-55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70,714,500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35,357,250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247,014,500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2025-2028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247,014,500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123,507,250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Revenue concentration: Phases 2 and 3 account for approximately 54% of total residential revenue. This is the period of peak capital deployment and maximum construction activity. Cash flow management during this period is critical.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Phase 4 revenue is disproportionately high relative to unit count because it includes the premium 5-bed estate homes at BBD 1,430,000 each. This revenue is at risk if upper-tier demand does not materialise.</w:t>
      </w:r>
    </w:p>
    <w:p>
      <w:pPr>
        <w:pStyle w:val="Heading1"/>
      </w:pPr>
      <w:r>
        <w:t xml:space="preserve">4. Comparable Pricing Validation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Mount Brevitor pricing has been benchmarked against four comparable developments identified in Phase 1. Current pricing is sourced from developer websites and Terra Caribbean listings as of March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400"/>
        <w:gridCol w:w="1400"/>
        <w:gridCol w:w="3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$/sq ft (est.)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Coverley Residences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303K-429K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220-240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Christ Church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website / Terra Caribbean. Town centre, community amenities.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Vuemont Country Estate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275K-355K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200-230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St. Peter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website. Same parish as Mount Brevitor. Pool, gym, trails.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Harmony Estates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150K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150-190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Christ Church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website. Affordable segment. 100% financing. Below MBE entry.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Apes Hill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St. James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website. Luxury benchmark. Golf, farm-to-table, spa.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Mount Brevitor (proposed)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220K-715K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230-350 (est.)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St. Peter (TBC)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Developer pricing. Entry competitive. Upper-tier unvalidated.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Entry and mid-range pricing (USD 220K to USD 350K) is competitive with Coverley and Vuemont. The 1-bed condo at USD 220K undercuts Coverley's entry point, which is strategically sound for market penetration. The 95% financing product further strengthens the value proposition for the entry segment.</w:t>
      </w:r>
    </w:p>
    <w:p>
      <w:pPr>
        <w:shd w:fill="FFF8E1" w:val="clear"/>
        <w:spacing w:after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FLAG: </w:t>
      </w:r>
      <w:r>
        <w:rPr>
          <w:rFonts w:ascii="Arial" w:cs="Arial" w:eastAsia="Arial" w:hAnsi="Arial"/>
          <w:sz w:val="22"/>
          <w:szCs w:val="22"/>
        </w:rPr>
        <w:t xml:space="preserve">Upper-tier pricing (USD 440K to USD 715K) overlaps with the lower end of the Apes Hill luxury segment. Apes Hill offers an established 18-hole golf course, plantation setting, spa, and beach club. Mount Brevitor's amenity package is differentiated (farm, X Range, community services) but is unproven at this price point in northern Barbados. Independent luxury market validation is outstanding.</w:t>
      </w:r>
    </w:p>
    <w:p>
      <w:pPr>
        <w:pStyle w:val="Heading1"/>
      </w:pPr>
      <w:r>
        <w:t xml:space="preserve">5. Absorption Rate Model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Three absorption scenarios are modelled, consistent with the Phase 1 Residential Demand Analysis. The developer's financial model aligns with the Base Case to Optimistic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60-80 units/yr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4.5-6 years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demand only. No diaspora or international premium. Pricing under pressure from competition.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100-120 units/yr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3-3.5 years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demand + diaspora. Financing innovation works. Amenity package supports pricing.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130-150 units/yr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2.5-3 years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demand across all segments. Northern Barbados growth accelerates. Upper-tier absorbs.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Market precedent: Harmony Estates sold 96 units in under two years (approximately 50 units per year). Coverley has sustained multi-phase absorption at a larger scale. The Base Case assumption of 100-120 units per year is achievable but at the upper end of Barbados market precedent for a single development.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Key absorption dependencies: the 95% mortgage product must be operational at launch; the amenity package (farm, golf, community services) must be visible and credible to buyers by Phase 2; and competing supply (Coverley Phase 2, Vuemont expansion) must not accelerate into the same segment simultaneously.</w:t>
      </w:r>
    </w:p>
    <w:p>
      <w:r>
        <w:br w:type="page"/>
      </w:r>
    </w:p>
    <w:p>
      <w:pPr>
        <w:pStyle w:val="Heading1"/>
      </w:pPr>
      <w:r>
        <w:t xml:space="preserve">6. Sales and Marketing Strategy Brief</w:t>
      </w:r>
    </w:p>
    <w:p>
      <w:pPr>
        <w:pStyle w:val="Heading2"/>
      </w:pPr>
      <w:r>
        <w:t xml:space="preserve">6.1 Target Markets and Channels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Local Barbadian (55-65%): on-island real estate agents, social media (Facebook, Instagram), newspaper advertising, radio. Model home tours. Bank partnership marketing through mortgage pre-approval events.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Barbadian Diaspora (15-20%): UK and North American Caribbean media. Diaspora community events and organisations. Digital marketing targeting Barbadian nationals abroad. Virtual tours and off-plan purchase facilitation.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International / Remote Worker (10-15%): Barbados Welcome Stamp programme channels. International property platforms (Rightmove International, Realtor.com International). Lifestyle media targeting remote workers and early retirees.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Regional Investor (5-10%): Caribbean investment forums. Regional banking and wealth management channels. Property investment conferences in Trinidad and Jamaica.</w:t>
      </w:r>
    </w:p>
    <w:p>
      <w:pPr>
        <w:pStyle w:val="Heading2"/>
      </w:pPr>
      <w:r>
        <w:t xml:space="preserve">6.2 Pricing Approach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Launch pricing at the lower end of the range for Phase 1 units. Apply a 3-5% price escalation per phase, benchmarked against market movement and absorption data. The 95% financing product is the primary demand driver for the local segment; all sales materials should lead with the deposit amount (BBD 22,000 / USD 11,000) rather than the unit price.</w:t>
      </w:r>
    </w:p>
    <w:p>
      <w:pPr>
        <w:pStyle w:val="Heading2"/>
      </w:pPr>
      <w:r>
        <w:t xml:space="preserve">6.3 Pre-Sales Strategy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developer targets a pre-sales threshold of 10% (approximately 35 units) before committing Phase 1 construction capital. This is below the industry norm of 20-30% for developments of this scale. A higher pre-sales threshold is recommended (20%, or approximately 70 units) to reduce demand risk and satisfy lender requirements.</w:t>
      </w:r>
    </w:p>
    <w:p>
      <w:pPr>
        <w:shd w:fill="FFF8E1" w:val="clear"/>
        <w:spacing w:after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FLAG: </w:t>
      </w:r>
      <w:r>
        <w:rPr>
          <w:rFonts w:ascii="Arial" w:cs="Arial" w:eastAsia="Arial" w:hAnsi="Arial"/>
          <w:sz w:val="22"/>
          <w:szCs w:val="22"/>
        </w:rPr>
        <w:t xml:space="preserve">A 10% pre-sales threshold exposes the project to construction commencement with limited demand evidence. This is a material risk for the financing structure and was flagged as Risk M-03 in the Phase 1 Risk Register. Recommend increasing to 20% minimum.</w:t>
      </w:r>
    </w:p>
    <w:p>
      <w:pPr>
        <w:pStyle w:val="Heading2"/>
      </w:pPr>
      <w:r>
        <w:t xml:space="preserve">6.4 Financing Model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95% LTV mortgage at 4.5% fixed for 25 years is the cornerstone of the sales strategy for the local market. Key metrics: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Entry unit (BBD 440,000): Deposit BBD 22,000 (USD 11,000). Monthly payment approximately BBD 2,310 (USD 1,155).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Mid-range unit (BBD 623,700): Deposit BBD 31,185 (USD 15,593). Monthly payment approximately BBD 3,275 (USD 1,638).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Qualification: a household earning BBD 80,000 per year (approximately USD 40,000) could service the entry unit mortgage, assuming a 35% debt-to-income ratio. This is within the middle-income Barbadian salary band.</w:t>
      </w:r>
    </w:p>
    <w:p>
      <w:pPr>
        <w:shd w:fill="FFF8E1" w:val="clear"/>
        <w:spacing w:after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FLAG: </w:t>
      </w:r>
      <w:r>
        <w:rPr>
          <w:rFonts w:ascii="Arial" w:cs="Arial" w:eastAsia="Arial" w:hAnsi="Arial"/>
          <w:sz w:val="22"/>
          <w:szCs w:val="22"/>
        </w:rPr>
        <w:t xml:space="preserve">The 4.5% fixed rate is below Barbados commercial mortgage rates (typically 6-8%). The banking partnership and rate basis must be confirmed by the developer. If the rate is subsidised or introductory, the effective buyer cost may be higher than presented.</w:t>
      </w:r>
    </w:p>
    <w:p>
      <w:pPr>
        <w:pBdr>
          <w:top w:val="single" w:color="B8860B" w:sz="4" w:space="4"/>
        </w:pBdr>
        <w:spacing w:before="3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p>
      <w:r>
        <w:rPr>
          <w:rFonts w:ascii="Arial" w:cs="Arial" w:eastAsia="Arial" w:hAnsi="Arial"/>
          <w:color w:val="999999"/>
          <w:sz w:val="18"/>
          <w:szCs w:val="18"/>
        </w:rPr>
        <w:t xml:space="preserve">Mount Brevitor Estate Development  |  Residential Configuration v2.0  |  Infinity Developers Inc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Residential Configuration | Infinity Developers Inc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026"/>
      </w:tabs>
    </w:pPr>
    <w:r>
      <w:rPr>
        <w:rFonts w:ascii="Georgia" w:cs="Georgia" w:eastAsia="Georgia" w:hAnsi="Georgia"/>
        <w:b/>
        <w:bCs/>
        <w:color w:val="1B5E20"/>
        <w:sz w:val="16"/>
        <w:szCs w:val="16"/>
      </w:rPr>
      <w:t xml:space="preserve">Mount Brevitor Estate Development</w:t>
    </w:r>
    <w:r>
      <w:rPr>
        <w:rFonts w:ascii="Arial" w:cs="Arial" w:eastAsia="Arial" w:hAnsi="Arial"/>
        <w:color w:val="999999"/>
        <w:sz w:val="16"/>
        <w:szCs w:val="16"/>
      </w:rPr>
      <w:t xml:space="preserve">	v2.0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2026-03-05T09:12:02.577Z</dcterms:created>
  <dcterms:modified xsi:type="dcterms:W3CDTF">2026-03-05T09:12:02.579Z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