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Georgia" w:cs="Georgia" w:eastAsia="Georgia" w:hAnsi="Georgia"/>
          <w:b/>
          <w:bCs/>
          <w:color w:val="1B5E20"/>
          <w:sz w:val="56"/>
          <w:szCs w:val="56"/>
        </w:rPr>
        <w:t xml:space="preserve">MOUNT BREVITOR</w:t>
      </w:r>
    </w:p>
    <w:p>
      <w:pPr>
        <w:spacing w:after="200"/>
        <w:jc w:val="center"/>
      </w:pPr>
      <w:r>
        <w:rPr>
          <w:rFonts w:ascii="Georgia" w:cs="Georgia" w:eastAsia="Georgia" w:hAnsi="Georgia"/>
          <w:color w:val="2E7D32"/>
          <w:sz w:val="44"/>
          <w:szCs w:val="44"/>
        </w:rPr>
        <w:t xml:space="preserve">ESTATE DEVELOPMENT</w:t>
      </w:r>
    </w:p>
    <w:p>
      <w:pPr>
        <w:pBdr>
          <w:top w:val="single" w:color="B8860B" w:sz="6" w:space="8"/>
          <w:bottom w:val="single" w:color="B8860B" w:sz="6" w:space="8"/>
        </w:pBdr>
        <w:spacing w:after="80"/>
        <w:jc w:val="center"/>
      </w:pPr>
      <w:r>
        <w:rPr>
          <w:rFonts w:ascii="Georgia" w:cs="Georgia" w:eastAsia="Georgia" w:hAnsi="Georgia"/>
          <w:color w:val="B8860B"/>
          <w:sz w:val="28"/>
          <w:szCs w:val="28"/>
        </w:rPr>
        <w:t xml:space="preserve">Environmental and Sustainability Brief</w:t>
      </w:r>
    </w:p>
    <w:p>
      <w:pPr>
        <w:spacing w:after="400"/>
      </w:pPr>
    </w:p>
    <w:p>
      <w:pPr>
        <w:spacing w:after="60"/>
        <w:jc w:val="center"/>
      </w:pPr>
      <w:r>
        <w:rPr>
          <w:rFonts w:ascii="Arial" w:cs="Arial" w:eastAsia="Arial" w:hAnsi="Arial"/>
          <w:color w:val="666666"/>
          <w:sz w:val="20"/>
          <w:szCs w:val="20"/>
        </w:rPr>
        <w:t xml:space="preserve">Workstream F  |  Document v2.0  |  March 2025  |  CONFIDENTIAL</w:t>
      </w:r>
    </w:p>
    <w:p>
      <w:pPr>
        <w:jc w:val="center"/>
      </w:pPr>
      <w:r>
        <w:rPr>
          <w:rFonts w:ascii="Arial" w:cs="Arial" w:eastAsia="Arial" w:hAnsi="Arial"/>
          <w:color w:val="666666"/>
          <w:sz w:val="20"/>
          <w:szCs w:val="20"/>
        </w:rPr>
        <w:t xml:space="preserve">Developer: Infinity Developers Inc (Ltd, Barbados)</w:t>
      </w:r>
    </w:p>
    <w:p>
      <w:r>
        <w:br w:type="page"/>
      </w:r>
    </w:p>
    <w:p>
      <w:pPr>
        <w:pStyle w:val="Heading1"/>
      </w:pPr>
      <w:r>
        <w:t xml:space="preserve">1. Environmental Considerations by Component</w:t>
      </w:r>
    </w:p>
    <w:p>
      <w:pPr>
        <w:pStyle w:val="Heading2"/>
      </w:pPr>
      <w:r>
        <w:t xml:space="preserve">1.1 Residential Development</w:t>
      </w:r>
    </w:p>
    <w:p>
      <w:pPr>
        <w:spacing w:after="200"/>
      </w:pPr>
      <w:r>
        <w:rPr>
          <w:rFonts w:ascii="Arial" w:cs="Arial" w:eastAsia="Arial" w:hAnsi="Arial"/>
          <w:sz w:val="22"/>
          <w:szCs w:val="22"/>
        </w:rPr>
        <w:t xml:space="preserve">Habitat disturbance from clearing 55-60 acres. Stormwater runoff increase from impervious surfaces (roofs, roads, parking). Construction noise and dust during 4-year build programme. Waste generation during construction (estimated 15,000-25,000 tonnes over project life). Light pollution from street lighting and residential units. Mitigation: phased clearing to allow wildlife displacement; stormwater retention design to pre-development runoff levels; construction management plan with dust suppression, noise limits, and working hour restrictions; construction waste recycling target of 50%+.</w:t>
      </w:r>
    </w:p>
    <w:p>
      <w:pPr>
        <w:pStyle w:val="Heading2"/>
      </w:pPr>
      <w:r>
        <w:t xml:space="preserve">1.2 Working Farm</w:t>
      </w:r>
    </w:p>
    <w:p>
      <w:pPr>
        <w:spacing w:after="200"/>
      </w:pPr>
      <w:r>
        <w:rPr>
          <w:rFonts w:ascii="Arial" w:cs="Arial" w:eastAsia="Arial" w:hAnsi="Arial"/>
          <w:sz w:val="22"/>
          <w:szCs w:val="22"/>
        </w:rPr>
        <w:t xml:space="preserve">Dairy operation: manure management, odour control, and nutrient runoff. Aquaponics: water quality management, fish welfare, and waste discharge. Containerised growing: minimal environmental impact if contained. Pesticide and fertiliser use: organic or controlled inputs preferred. Mitigation: manure composting and use as organic fertiliser; aquaponics water recycling (estimated 90% water reuse); 100-metre buffer between dairy operations and nearest residential cluster; integrated pest management programme.</w:t>
      </w:r>
    </w:p>
    <w:p>
      <w:pPr>
        <w:pStyle w:val="Heading2"/>
      </w:pPr>
      <w:r>
        <w:t xml:space="preserve">1.3 X Range Golf</w:t>
      </w:r>
    </w:p>
    <w:p>
      <w:pPr>
        <w:spacing w:after="200"/>
      </w:pPr>
      <w:r>
        <w:rPr>
          <w:rFonts w:ascii="Arial" w:cs="Arial" w:eastAsia="Arial" w:hAnsi="Arial"/>
          <w:sz w:val="22"/>
          <w:szCs w:val="22"/>
        </w:rPr>
        <w:t xml:space="preserve">Land use change from agricultural to recreational on designated agricultural parcel. Chemical inputs: range maintenance requires fertilisers and potentially herbicides. Noise: driving range generates intermittent noise (ball strike, social noise from bar). Light pollution: evening operation requires range lighting. Mitigation: drought-tolerant grass species to minimise irrigation; integrated turf management to reduce chemical inputs; directional lighting to minimise spillage; acoustic assessment for bar/restaurant operation.</w:t>
      </w:r>
    </w:p>
    <w:p>
      <w:pPr>
        <w:pStyle w:val="Heading2"/>
      </w:pPr>
      <w:r>
        <w:t xml:space="preserve">1.4 Green Infrastructure</w:t>
      </w:r>
    </w:p>
    <w:p>
      <w:pPr>
        <w:spacing w:after="200"/>
      </w:pPr>
      <w:r>
        <w:rPr>
          <w:rFonts w:ascii="Arial" w:cs="Arial" w:eastAsia="Arial" w:hAnsi="Arial"/>
          <w:sz w:val="22"/>
          <w:szCs w:val="22"/>
        </w:rPr>
        <w:t xml:space="preserve">Solar array: visual impact, panel glare, and habitat beneath panels. Water treatment plant: discharge quality, odour, and noise from mechanical systems. Battery storage: fire risk, chemical containment. Mitigation: agrivoltaic design maintains agricultural use beneath panels; water treatment to tertiary standard for estate reuse; battery storage in purpose-built fireproof enclosure with spill containment.</w:t>
      </w:r>
    </w:p>
    <w:p>
      <w:r>
        <w:br w:type="page"/>
      </w:r>
    </w:p>
    <w:p>
      <w:pPr>
        <w:pStyle w:val="Heading1"/>
      </w:pPr>
      <w:r>
        <w:t xml:space="preserve">2. EIA Trigger Analysis</w:t>
      </w:r>
    </w:p>
    <w:p>
      <w:pPr>
        <w:spacing w:after="200"/>
      </w:pPr>
      <w:r>
        <w:rPr>
          <w:rFonts w:ascii="Arial" w:cs="Arial" w:eastAsia="Arial" w:hAnsi="Arial"/>
          <w:sz w:val="22"/>
          <w:szCs w:val="22"/>
        </w:rPr>
        <w:t xml:space="preserve">Under the Planning and Development (Environmental Impact Assessment) Regulations 2021, the following components trigger mandatory or discretionary EIA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900"/>
        <w:gridCol w:w="4060"/>
      </w:tblGrid>
      <w:t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EIA Trigger</w:t>
            </w:r>
          </w:p>
        </w:tc>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Schedule</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40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Residential (355 units, 120 acres)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 Schedule 1 mandatory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Large-scale housing. Mandatory EIS required.</w:t>
            </w:r>
          </w:p>
        </w:tc>
      </w:tr>
      <w:tr>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Working Farm (aquaponics, dairy)</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Possible - discretionary</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0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Agricultural intensification. Screening by TCPD.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X Range (driving 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 entertainment/leisure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Land use change on agricultural land.</w:t>
            </w:r>
          </w:p>
        </w:tc>
      </w:tr>
      <w:tr>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Solar Array (agrivoltaic)</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Possible - energy infrastructure</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0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Depends on scale. Dual-use argument may reduce scope.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Water Treatment Plant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 waste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Discharge quality and receiving water body critical.</w:t>
            </w:r>
          </w:p>
        </w:tc>
      </w:tr>
      <w:tr>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Road Infrastructure</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Included in master EIA</w:t>
            </w:r>
          </w:p>
        </w:tc>
        <w:tc>
          <w:tcPr>
            <w:tcW w:type="dxa" w:w="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0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Traffic impact assessment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Commercial (retail, medical)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Included in master EIA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commercial. No standalone trigger.</w:t>
            </w:r>
          </w:p>
        </w:tc>
      </w:tr>
    </w:tbl>
    <w:p>
      <w:pPr>
        <w:spacing w:after="200"/>
      </w:pPr>
      <w:r>
        <w:rPr>
          <w:rFonts w:ascii="Arial" w:cs="Arial" w:eastAsia="Arial" w:hAnsi="Arial"/>
          <w:sz w:val="22"/>
          <w:szCs w:val="22"/>
        </w:rPr>
        <w:t xml:space="preserve">A single consolidated EIA covering the entire 120-acre development is recommended rather than separate assessments for individual components. This is more efficient, avoids duplication, and presents the project holistically to TCPD. Estimated EIA timeline: 6-12 months from scoping to approval.</w:t>
      </w:r>
    </w:p>
    <w:p>
      <w:pPr>
        <w:shd w:fill="FFF8E1" w:val="clear"/>
        <w:spacing w:after="200"/>
      </w:pPr>
      <w:r>
        <w:rPr>
          <w:rFonts w:ascii="Arial" w:cs="Arial" w:eastAsia="Arial" w:hAnsi="Arial"/>
          <w:b/>
          <w:bCs/>
          <w:color w:val="B8860B"/>
          <w:sz w:val="22"/>
          <w:szCs w:val="22"/>
        </w:rPr>
        <w:t xml:space="preserve">FLAG: </w:t>
      </w:r>
      <w:r>
        <w:rPr>
          <w:rFonts w:ascii="Arial" w:cs="Arial" w:eastAsia="Arial" w:hAnsi="Arial"/>
          <w:sz w:val="22"/>
          <w:szCs w:val="22"/>
        </w:rPr>
        <w:t xml:space="preserve">EIA scoping and baseline studies have not commenced. This is a critical path item. Every month of delay extends the overall programme by a corresponding period. Environmental consultant engagement should be immediate.</w:t>
      </w:r>
    </w:p>
    <w:p>
      <w:pPr>
        <w:pStyle w:val="Heading1"/>
      </w:pPr>
      <w:r>
        <w:t xml:space="preserve">3. Green Certification Pathway</w:t>
      </w:r>
    </w:p>
    <w:p>
      <w:pPr>
        <w:pStyle w:val="Heading2"/>
      </w:pPr>
      <w:r>
        <w:t xml:space="preserve">3.1 EDGE Assessment</w:t>
      </w:r>
    </w:p>
    <w:p>
      <w:pPr>
        <w:spacing w:after="200"/>
      </w:pPr>
      <w:r>
        <w:rPr>
          <w:rFonts w:ascii="Arial" w:cs="Arial" w:eastAsia="Arial" w:hAnsi="Arial"/>
          <w:sz w:val="22"/>
          <w:szCs w:val="22"/>
        </w:rPr>
        <w:t xml:space="preserve">EDGE (Excellence in Design for Greater Efficiencies) is an IFC-backed green building certification system designed for emerging markets. It certifies buildings that demonstrate a minimum 20% reduction in energy, water, and embodied energy in materials compared to a local baseline. EDGE Advanced requires greater savings. EDGE is the recommended primary certification target due to its relevance to the Caribbean market, lower certification cost compared to LEED, and IFC recognition which supports investor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296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EDGE Category</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Measure</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Est. Savings</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EDGE Target</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Energy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Hybrid solar + battery + building fabric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&gt;20%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Likely meets EDGE Advanced</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Water</w:t>
            </w:r>
          </w:p>
        </w:tc>
        <w:tc>
          <w:tcPr>
            <w:tcW w:type="dxa" w:w="2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On-site treatment + aquaponics recycling</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25-35%</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&gt;20%</w:t>
            </w:r>
          </w:p>
        </w:tc>
        <w:tc>
          <w:tcPr>
            <w:tcW w:type="dxa" w:w="2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Likely meets EDGE Advanced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Materials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 sourcing + proprietary tech (if verified)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&gt;20%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Marginal. Depends on material spec.</w:t>
            </w:r>
          </w:p>
        </w:tc>
      </w:tr>
    </w:tbl>
    <w:p>
      <w:pPr>
        <w:spacing w:after="200"/>
      </w:pPr>
      <w:r>
        <w:rPr>
          <w:rFonts w:ascii="Arial" w:cs="Arial" w:eastAsia="Arial" w:hAnsi="Arial"/>
          <w:sz w:val="22"/>
          <w:szCs w:val="22"/>
        </w:rPr>
        <w:t xml:space="preserve">Gap analysis: Energy and water categories are likely to meet EDGE Advanced thresholds given the hybrid solar system and on-site water treatment. The materials category is marginal and depends on the developer's proprietary construction technology delivering verified embodied energy savings. If the construction savings claims are not verified, the materials category may fall short of EDGE Advanced, potentially qualifying for standard EDGE only.</w:t>
      </w:r>
    </w:p>
    <w:p>
      <w:pPr>
        <w:pStyle w:val="Heading2"/>
      </w:pPr>
      <w:r>
        <w:t xml:space="preserve">3.2 LEED Silver (Alternative)</w:t>
      </w:r>
    </w:p>
    <w:p>
      <w:pPr>
        <w:spacing w:after="200"/>
      </w:pPr>
      <w:r>
        <w:rPr>
          <w:rFonts w:ascii="Arial" w:cs="Arial" w:eastAsia="Arial" w:hAnsi="Arial"/>
          <w:sz w:val="22"/>
          <w:szCs w:val="22"/>
        </w:rPr>
        <w:t xml:space="preserve">LEED Silver requires 50-59 points across six categories. The certification cost and complexity are significantly higher than EDGE. LEED is better recognised in North American and European investor markets but less relevant to the Caribbean context. Recommendation: pursue EDGE Advanced as the primary certification. Consider LEED Silver only if a specific investor or lender requires it.</w:t>
      </w:r>
    </w:p>
    <w:p>
      <w:pPr>
        <w:pStyle w:val="Heading1"/>
      </w:pPr>
      <w:r>
        <w:t xml:space="preserve">4. Sustainability Features Inventory</w:t>
      </w:r>
    </w:p>
    <w:p>
      <w:pPr>
        <w:pStyle w:val="ListParagraph"/>
        <w:numPr>
          <w:ilvl w:val="0"/>
          <w:numId w:val="2"/>
        </w:numPr>
        <w:spacing w:after="200"/>
      </w:pPr>
      <w:r>
        <w:rPr>
          <w:rFonts w:ascii="Arial" w:cs="Arial" w:eastAsia="Arial" w:hAnsi="Arial"/>
          <w:sz w:val="22"/>
          <w:szCs w:val="22"/>
        </w:rPr>
        <w:t xml:space="preserve">Agrivoltaic solar array: 2-3 MW capacity (estimated). Elevated panels over active farmland. Reduces estate grid dependency by 40-60%. Annual generation: 3,000-4,500 MWh.</w:t>
      </w:r>
    </w:p>
    <w:p>
      <w:pPr>
        <w:pStyle w:val="ListParagraph"/>
        <w:numPr>
          <w:ilvl w:val="0"/>
          <w:numId w:val="2"/>
        </w:numPr>
        <w:spacing w:after="200"/>
      </w:pPr>
      <w:r>
        <w:rPr>
          <w:rFonts w:ascii="Arial" w:cs="Arial" w:eastAsia="Arial" w:hAnsi="Arial"/>
          <w:sz w:val="22"/>
          <w:szCs w:val="22"/>
        </w:rPr>
        <w:t xml:space="preserve">Battery storage: lithium-ion or equivalent, 500 kWh-1 MWh capacity. Stores daytime solar for evening peak demand. Reduces diesel backup requirement.</w:t>
      </w:r>
    </w:p>
    <w:p>
      <w:pPr>
        <w:pStyle w:val="ListParagraph"/>
        <w:numPr>
          <w:ilvl w:val="0"/>
          <w:numId w:val="2"/>
        </w:numPr>
        <w:spacing w:after="200"/>
      </w:pPr>
      <w:r>
        <w:rPr>
          <w:rFonts w:ascii="Arial" w:cs="Arial" w:eastAsia="Arial" w:hAnsi="Arial"/>
          <w:sz w:val="22"/>
          <w:szCs w:val="22"/>
        </w:rPr>
        <w:t xml:space="preserve">On-site water treatment plant: tertiary treatment for estate wastewater reuse in irrigation, landscaping, and non-potable domestic use. Reduces municipal water demand by 30-50%.</w:t>
      </w:r>
    </w:p>
    <w:p>
      <w:pPr>
        <w:pStyle w:val="ListParagraph"/>
        <w:numPr>
          <w:ilvl w:val="0"/>
          <w:numId w:val="2"/>
        </w:numPr>
        <w:spacing w:after="200"/>
      </w:pPr>
      <w:r>
        <w:rPr>
          <w:rFonts w:ascii="Arial" w:cs="Arial" w:eastAsia="Arial" w:hAnsi="Arial"/>
          <w:sz w:val="22"/>
          <w:szCs w:val="22"/>
        </w:rPr>
        <w:t xml:space="preserve">Aquaponics water recycling: closed-loop system with estimated 90% water reuse. Fish waste provides nutrients for plant growth, eliminating synthetic fertiliser for aquaponics crops.</w:t>
      </w:r>
    </w:p>
    <w:p>
      <w:pPr>
        <w:pStyle w:val="ListParagraph"/>
        <w:numPr>
          <w:ilvl w:val="0"/>
          <w:numId w:val="2"/>
        </w:numPr>
        <w:spacing w:after="200"/>
      </w:pPr>
      <w:r>
        <w:rPr>
          <w:rFonts w:ascii="Arial" w:cs="Arial" w:eastAsia="Arial" w:hAnsi="Arial"/>
          <w:sz w:val="22"/>
          <w:szCs w:val="22"/>
        </w:rPr>
        <w:t xml:space="preserve">Building fabric: hurricane-rated construction with tropical-optimised thermal performance. Cross-ventilation design to reduce air conditioning demand. Reflective roofing to reduce heat gain.</w:t>
      </w:r>
    </w:p>
    <w:p>
      <w:pPr>
        <w:pStyle w:val="ListParagraph"/>
        <w:numPr>
          <w:ilvl w:val="0"/>
          <w:numId w:val="2"/>
        </w:numPr>
        <w:spacing w:after="200"/>
      </w:pPr>
      <w:r>
        <w:rPr>
          <w:rFonts w:ascii="Arial" w:cs="Arial" w:eastAsia="Arial" w:hAnsi="Arial"/>
          <w:sz w:val="22"/>
          <w:szCs w:val="22"/>
        </w:rPr>
        <w:t xml:space="preserve">Diesel backup: retained for hurricane and extended cloud cover scenarios. Target: diesel generation below 10% of total annual energy.</w:t>
      </w:r>
    </w:p>
    <w:p>
      <w:pPr>
        <w:pStyle w:val="ListParagraph"/>
        <w:numPr>
          <w:ilvl w:val="0"/>
          <w:numId w:val="2"/>
        </w:numPr>
        <w:spacing w:after="200"/>
      </w:pPr>
      <w:r>
        <w:rPr>
          <w:rFonts w:ascii="Arial" w:cs="Arial" w:eastAsia="Arial" w:hAnsi="Arial"/>
          <w:sz w:val="22"/>
          <w:szCs w:val="22"/>
        </w:rPr>
        <w:t xml:space="preserve">Stormwater management: permeable surfaces, bioswales, and retention ponds designed to manage 1-in-50-year storm events and reduce downstream flooding impact.</w:t>
      </w:r>
    </w:p>
    <w:p>
      <w:r>
        <w:br w:type="page"/>
      </w:r>
    </w:p>
    <w:p>
      <w:pPr>
        <w:pStyle w:val="Heading1"/>
      </w:pPr>
      <w:r>
        <w:t xml:space="preserve">5. Climate Risk Assessment</w:t>
      </w:r>
    </w:p>
    <w:p>
      <w:pPr>
        <w:spacing w:after="200"/>
      </w:pPr>
      <w:r>
        <w:rPr>
          <w:rFonts w:ascii="Arial" w:cs="Arial" w:eastAsia="Arial" w:hAnsi="Arial"/>
          <w:sz w:val="22"/>
          <w:szCs w:val="22"/>
        </w:rPr>
        <w:t xml:space="preserve">Northern Barbados faces specific climate risks that must be factored into the estate design and long-term operation. The following assessment is based on Caribbean climate projections and Barbados-specific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100"/>
        <w:gridCol w:w="2700"/>
        <w:gridCol w:w="3260"/>
      </w:tblGrid>
      <w:tr>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Hazard</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2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Impact on Estate</w:t>
            </w:r>
          </w:p>
        </w:tc>
        <w:tc>
          <w:tcPr>
            <w:tcW w:type="dxa" w:w="32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Hurricane (Cat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CRITICAL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(5-10yr cycle)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Structural damage, utility disruption, insurance cost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Hurricane-rated construction. Backup diesel. Insurance programme.</w:t>
            </w:r>
          </w:p>
        </w:tc>
      </w:tr>
      <w:tr>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Flooding (storm surge / inland)</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B8860B"/>
                <w:sz w:val="20"/>
                <w:szCs w:val="20"/>
              </w:rPr>
              <w:t xml:space="preserve">HIGH</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Low-lying areas may flood. Stormwater capacity critical.</w:t>
            </w:r>
          </w:p>
        </w:tc>
        <w:tc>
          <w:tcPr>
            <w:tcW w:type="dxa" w:w="32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1-in-50yr drainage design. Elevated electrical. No habitable ground floors in risk zones.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Drought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Water supply stress. Farm irrigation demand.</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On-site water treatment. Aquaponics recycling. Rainwater harvesting.</w:t>
            </w:r>
          </w:p>
        </w:tc>
      </w:tr>
      <w:tr>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Sea Level Rise</w:t>
            </w:r>
          </w:p>
        </w:tc>
        <w:tc>
          <w:tcPr>
            <w:tcW w:type="dxa" w:w="9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LOW-MEDIUM</w:t>
            </w:r>
          </w:p>
        </w:tc>
        <w:tc>
          <w:tcPr>
            <w:tcW w:type="dxa" w:w="11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Long-term</w:t>
            </w:r>
          </w:p>
        </w:tc>
        <w:tc>
          <w:tcPr>
            <w:tcW w:type="dxa" w:w="2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Northern site is inland. Direct impact low. Indirect via insurance.</w:t>
            </w:r>
          </w:p>
        </w:tc>
        <w:tc>
          <w:tcPr>
            <w:tcW w:type="dxa" w:w="32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Site selection advantage (inland, elevated). Monitor insurance market.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Temperature Increase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(ongoing)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Cooling demand increase. Occupant comfort.</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Passive cooling design. Trade wind orientation. Shaded paths. Solar offsets AC demand.</w:t>
            </w:r>
          </w:p>
        </w:tc>
      </w:tr>
    </w:tbl>
    <w:p>
      <w:pPr>
        <w:spacing w:after="200"/>
      </w:pPr>
      <w:r>
        <w:rPr>
          <w:rFonts w:ascii="Arial" w:cs="Arial" w:eastAsia="Arial" w:hAnsi="Arial"/>
          <w:sz w:val="22"/>
          <w:szCs w:val="22"/>
        </w:rPr>
        <w:t xml:space="preserve">The inland, elevated position of northern Barbados provides a natural advantage over coastal sites for flood and sea level rise risk. The primary climate exposure is hurricane damage, which is managed through building design standards and insurance, and long-term temperature increase, which is addressed through the green energy and passive cooling strategy.</w:t>
      </w:r>
    </w:p>
    <w:p>
      <w:pPr>
        <w:pStyle w:val="Heading1"/>
      </w:pPr>
      <w:r>
        <w:t xml:space="preserve">6. Carbon and Energy Modelling</w:t>
      </w:r>
    </w:p>
    <w:p>
      <w:pPr>
        <w:spacing w:after="200"/>
      </w:pPr>
      <w:r>
        <w:rPr>
          <w:rFonts w:ascii="Arial" w:cs="Arial" w:eastAsia="Arial" w:hAnsi="Arial"/>
          <w:sz w:val="22"/>
          <w:szCs w:val="22"/>
        </w:rPr>
        <w:t xml:space="preserve">The following estimates compare the Mount Brevitor energy profile against a grid-only baseline for a development of equivalent scale in Barbados.</w:t>
      </w:r>
    </w:p>
    <w:p>
      <w:pPr>
        <w:spacing w:after="200"/>
      </w:pPr>
      <w:r>
        <w:rPr>
          <w:rFonts w:ascii="Arial" w:cs="Arial" w:eastAsia="Arial" w:hAnsi="Arial"/>
          <w:b/>
          <w:bCs/>
          <w:sz w:val="22"/>
          <w:szCs w:val="22"/>
        </w:rPr>
        <w:t xml:space="preserve">Baseline: </w:t>
      </w:r>
      <w:r>
        <w:rPr>
          <w:rFonts w:ascii="Arial" w:cs="Arial" w:eastAsia="Arial" w:hAnsi="Arial"/>
          <w:sz w:val="22"/>
          <w:szCs w:val="22"/>
        </w:rPr>
        <w:t xml:space="preserve">Grid-only baseline: 355 residential units consuming an average of 8,000-12,000 kWh per year (tropical climate with AC), plus commercial and community loads. Total estimated annual consumption: 4,000-5,500 MWh. Grid emissions factor for Barbados: approximately 0.7 kg CO2/kWh (heavy fuel oil generation). Baseline annual CO2: 2,800-3,850 tonnes.</w:t>
      </w:r>
    </w:p>
    <w:p>
      <w:pPr>
        <w:spacing w:after="200"/>
      </w:pPr>
      <w:r>
        <w:rPr>
          <w:rFonts w:ascii="Arial" w:cs="Arial" w:eastAsia="Arial" w:hAnsi="Arial"/>
          <w:b/>
          <w:bCs/>
          <w:sz w:val="22"/>
          <w:szCs w:val="22"/>
        </w:rPr>
        <w:t xml:space="preserve">Mount Brevitor scenario: </w:t>
      </w:r>
      <w:r>
        <w:rPr>
          <w:rFonts w:ascii="Arial" w:cs="Arial" w:eastAsia="Arial" w:hAnsi="Arial"/>
          <w:sz w:val="22"/>
          <w:szCs w:val="22"/>
        </w:rPr>
        <w:t xml:space="preserve">With solar + battery: on-site generation offsets 40-60% of total demand. Residual grid draw: 1,600-3,300 MWh. Annual CO2: 1,120-2,310 tonnes. Estimated annual CO2 reduction: 1,200-2,000 tonnes versus grid-only baseline.</w:t>
      </w:r>
    </w:p>
    <w:p>
      <w:pPr>
        <w:spacing w:after="200"/>
      </w:pPr>
      <w:r>
        <w:rPr>
          <w:rFonts w:ascii="Arial" w:cs="Arial" w:eastAsia="Arial" w:hAnsi="Arial"/>
          <w:sz w:val="22"/>
          <w:szCs w:val="22"/>
        </w:rPr>
        <w:t xml:space="preserve">Additional savings from water treatment (reduced pumping from municipal supply), aquaponics (reduced food-mile emissions), and building fabric (reduced AC demand) are not separately quantified but are directionally positive.</w:t>
      </w:r>
    </w:p>
    <w:p>
      <w:pPr>
        <w:shd w:fill="FFF8E1" w:val="clear"/>
        <w:spacing w:after="200"/>
      </w:pPr>
      <w:r>
        <w:rPr>
          <w:rFonts w:ascii="Arial" w:cs="Arial" w:eastAsia="Arial" w:hAnsi="Arial"/>
          <w:b/>
          <w:bCs/>
          <w:color w:val="B8860B"/>
          <w:sz w:val="22"/>
          <w:szCs w:val="22"/>
        </w:rPr>
        <w:t xml:space="preserve">FLAG: </w:t>
      </w:r>
      <w:r>
        <w:rPr>
          <w:rFonts w:ascii="Arial" w:cs="Arial" w:eastAsia="Arial" w:hAnsi="Arial"/>
          <w:sz w:val="22"/>
          <w:szCs w:val="22"/>
        </w:rPr>
        <w:t xml:space="preserve">These estimates are based on stated assumptions about solar capacity (2-3 MW), consumption patterns, and the Barbados grid emissions factor. Detailed energy modelling should be commissioned as part of the EDGE certification process to produce verified figures.</w:t>
      </w:r>
    </w:p>
    <w:p>
      <w:pPr>
        <w:pBdr>
          <w:top w:val="single" w:color="B8860B" w:sz="4" w:space="4"/>
        </w:pBdr>
        <w:spacing w:before="300"/>
      </w:pPr>
      <w:r>
        <w:rPr>
          <w:rFonts w:ascii="Arial" w:cs="Arial" w:eastAsia="Arial" w:hAnsi="Arial"/>
          <w:i/>
          <w:iCs/>
          <w:color w:val="999999"/>
          <w:sz w:val="20"/>
          <w:szCs w:val="20"/>
        </w:rPr>
        <w:t xml:space="preserve">End of Document</w:t>
      </w:r>
    </w:p>
    <w:p>
      <w:r>
        <w:rPr>
          <w:rFonts w:ascii="Arial" w:cs="Arial" w:eastAsia="Arial" w:hAnsi="Arial"/>
          <w:color w:val="999999"/>
          <w:sz w:val="18"/>
          <w:szCs w:val="18"/>
        </w:rPr>
        <w:t xml:space="preserve">Mount Brevitor Estate Development  |  Environmental and Sustainability Brief v2.0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Environmental and Sustainability Brief | Infinity Developers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rFonts w:ascii="Georgia" w:cs="Georgia" w:eastAsia="Georgia" w:hAnsi="Georgia"/>
        <w:b/>
        <w:bCs/>
        <w:color w:val="1B5E20"/>
        <w:sz w:val="16"/>
        <w:szCs w:val="16"/>
      </w:rPr>
      <w:t xml:space="preserve">Mount Brevitor Estate Development</w:t>
    </w:r>
    <w:r>
      <w:rPr>
        <w:rFonts w:ascii="Arial" w:cs="Arial" w:eastAsia="Arial" w:hAnsi="Arial"/>
        <w:color w:val="999999"/>
        <w:sz w:val="16"/>
        <w:szCs w:val="16"/>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2026-03-05T09:15:22.185Z</dcterms:created>
  <dcterms:modified xsi:type="dcterms:W3CDTF">2026-03-05T09:15:22.185Z</dcterms:modified>
</cp:coreProperties>
</file>

<file path=docProps/custom.xml><?xml version="1.0" encoding="utf-8"?>
<Properties xmlns="http://schemas.openxmlformats.org/officeDocument/2006/custom-properties" xmlns:vt="http://schemas.openxmlformats.org/officeDocument/2006/docPropsVTypes"/>
</file>