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top w:val="single" w:color="B8860B" w:sz="3" w:space="8"/>
          <w:bottom w:val="single" w:color="B8860B" w:sz="3" w:space="8"/>
        </w:pBdr>
        <w:spacing w:after="200"/>
        <w:jc w:val="center"/>
      </w:pPr>
      <w:r>
        <w:rPr>
          <w:rFonts w:ascii="Georgia" w:cs="Georgia" w:eastAsia="Georgia" w:hAnsi="Georgia"/>
          <w:b/>
          <w:bCs/>
          <w:color w:val="1B5E20"/>
          <w:sz w:val="36"/>
          <w:szCs w:val="36"/>
        </w:rPr>
        <w:t xml:space="preserve">MOUNT BREVITOR ESTATE DEVELOPMENT</w:t>
      </w:r>
    </w:p>
    <w:p>
      <w:pPr>
        <w:spacing w:after="100"/>
        <w:jc w:val="center"/>
      </w:pPr>
      <w:r>
        <w:rPr>
          <w:rFonts w:ascii="Arial" w:cs="Arial" w:eastAsia="Arial" w:hAnsi="Arial"/>
          <w:color w:val="2E7D32"/>
          <w:sz w:val="22"/>
          <w:szCs w:val="22"/>
        </w:rPr>
        <w:t xml:space="preserve">Northern Barbados  |  120 Acres  |  Mixed-Use Estate</w:t>
      </w:r>
    </w:p>
    <w:p>
      <w:pPr>
        <w:spacing w:before="400"/>
        <w:jc w:val="center"/>
      </w:pPr>
      <w:r>
        <w:rPr>
          <w:rFonts w:ascii="Georgia" w:cs="Georgia" w:eastAsia="Georgia" w:hAnsi="Georgia"/>
          <w:b/>
          <w:bCs/>
          <w:color w:val="1B5E20"/>
          <w:sz w:val="30"/>
          <w:szCs w:val="30"/>
        </w:rPr>
        <w:t xml:space="preserve">LEGAL STRUCTURE AND ENTITY NOTE</w:t>
      </w:r>
    </w:p>
    <w:p>
      <w:pPr>
        <w:spacing w:after="600"/>
        <w:jc w:val="center"/>
      </w:pPr>
      <w:r>
        <w:rPr>
          <w:rFonts w:ascii="Arial" w:cs="Arial" w:eastAsia="Arial" w:hAnsi="Arial"/>
          <w:i/>
          <w:iCs/>
          <w:color w:val="666666"/>
          <w:sz w:val="22"/>
          <w:szCs w:val="22"/>
        </w:rPr>
        <w:t xml:space="preserve">Corporate Architecture, Investor Participation, and Regulatory Compliance</w:t>
      </w:r>
    </w:p>
    <w:p>
      <w:pPr>
        <w:spacing w:after="80"/>
        <w:jc w:val="center"/>
      </w:pPr>
      <w:r>
        <w:rPr>
          <w:rFonts w:ascii="Arial" w:cs="Arial" w:eastAsia="Arial" w:hAnsi="Arial"/>
          <w:color w:val="666666"/>
          <w:sz w:val="20"/>
          <w:szCs w:val="20"/>
        </w:rPr>
        <w:t xml:space="preserve">Workstream F  |  Document v2.0  |  March 2025</w:t>
      </w:r>
    </w:p>
    <w:p>
      <w:pPr>
        <w:spacing w:after="80"/>
        <w:jc w:val="center"/>
      </w:pPr>
      <w:r>
        <w:rPr>
          <w:rFonts w:ascii="Arial" w:cs="Arial" w:eastAsia="Arial" w:hAnsi="Arial"/>
          <w:b/>
          <w:bCs/>
          <w:color w:val="B8860B"/>
          <w:sz w:val="20"/>
          <w:szCs w:val="20"/>
        </w:rPr>
        <w:t xml:space="preserve">Classification: CONFIDENTIAL</w:t>
      </w:r>
    </w:p>
    <w:p>
      <w:pPr>
        <w:spacing w:after="80"/>
        <w:jc w:val="center"/>
      </w:pPr>
      <w:r>
        <w:rPr>
          <w:rFonts w:ascii="Arial" w:cs="Arial" w:eastAsia="Arial" w:hAnsi="Arial"/>
          <w:color w:val="666666"/>
          <w:sz w:val="20"/>
          <w:szCs w:val="20"/>
        </w:rPr>
        <w:t xml:space="preserve">Prepared by: Strategic Advisory Workstream</w:t>
      </w:r>
    </w:p>
    <w:p>
      <w:pPr>
        <w:jc w:val="center"/>
      </w:pPr>
      <w:r>
        <w:rPr>
          <w:rFonts w:ascii="Arial" w:cs="Arial" w:eastAsia="Arial" w:hAnsi="Arial"/>
          <w:color w:val="666666"/>
          <w:sz w:val="20"/>
          <w:szCs w:val="20"/>
        </w:rPr>
        <w:t xml:space="preserve">Developer: Infinity Developers Inc (Ltd, Barbados)</w:t>
      </w:r>
    </w:p>
    <w:p>
      <w:pPr>
        <w:spacing w:before="200"/>
        <w:jc w:val="center"/>
      </w:pPr>
      <w:r>
        <w:rPr>
          <w:rFonts w:ascii="Arial" w:cs="Arial" w:eastAsia="Arial" w:hAnsi="Arial"/>
          <w:i/>
          <w:iCs/>
          <w:color w:val="999999"/>
          <w:sz w:val="18"/>
          <w:szCs w:val="18"/>
        </w:rPr>
        <w:t xml:space="preserve">Currency: BBD primary. USD equivalents where noted. BBD 2.00 = USD 1.00.</w:t>
      </w:r>
    </w:p>
    <w:p>
      <w:pPr>
        <w:sectPr>
          <w:pgSz w:w="12240" w:h="15840" w:orient="portrait"/>
          <w:pgMar w:top="1440" w:right="1440" w:bottom="1440" w:left="1440" w:header="708" w:footer="708" w:gutter="0"/>
          <w:pgNumType/>
          <w:docGrid w:linePitch="360"/>
        </w:sectPr>
      </w:pPr>
    </w:p>
    <w:p>
      <w:pPr>
        <w:pStyle w:val="Heading1"/>
        <w:spacing w:after="120" w:before="360"/>
      </w:pPr>
      <w:r>
        <w:rPr>
          <w:rFonts w:ascii="Georgia" w:cs="Georgia" w:eastAsia="Georgia" w:hAnsi="Georgia"/>
          <w:b/>
          <w:bCs/>
          <w:color w:val="1B5E20"/>
          <w:sz w:val="28"/>
          <w:szCs w:val="28"/>
        </w:rPr>
        <w:t xml:space="preserve">1. Recommended Corporate Structure</w:t>
      </w:r>
    </w:p>
    <w:p>
      <w:pPr>
        <w:spacing w:after="160" w:line="276"/>
        <w:jc w:val="left"/>
      </w:pPr>
      <w:r>
        <w:rPr>
          <w:rFonts w:ascii="Arial" w:cs="Arial" w:eastAsia="Arial" w:hAnsi="Arial"/>
          <w:color w:val="333333"/>
          <w:sz w:val="21"/>
          <w:szCs w:val="21"/>
        </w:rPr>
        <w:t xml:space="preserve">This section sets out the recommended legal architecture for the Mount Brevitor Estate Development. The structure is designed to achieve four objectives: ring-fence development risk from the developer's other operations; provide a clear and auditable investment pathway for equity and debt participants; satisfy Barbados regulatory requirements for company registration, beneficial ownership disclosure, and exchange control; and enable efficient tax treatment of development profits and investor distributions.</w:t>
      </w:r>
    </w:p>
    <w:p>
      <w:pPr>
        <w:pStyle w:val="Heading2"/>
        <w:spacing w:after="120" w:before="240"/>
      </w:pPr>
      <w:r>
        <w:rPr>
          <w:rFonts w:ascii="Georgia" w:cs="Georgia" w:eastAsia="Georgia" w:hAnsi="Georgia"/>
          <w:b/>
          <w:bCs/>
          <w:color w:val="1B5E20"/>
          <w:sz w:val="24"/>
          <w:szCs w:val="24"/>
        </w:rPr>
        <w:t xml:space="preserve">1.1 Special Purpose Vehicle</w:t>
      </w:r>
    </w:p>
    <w:p>
      <w:pPr>
        <w:spacing w:after="160" w:line="276"/>
        <w:jc w:val="left"/>
      </w:pPr>
      <w:r>
        <w:rPr>
          <w:rFonts w:ascii="Arial" w:cs="Arial" w:eastAsia="Arial" w:hAnsi="Arial"/>
          <w:color w:val="333333"/>
          <w:sz w:val="21"/>
          <w:szCs w:val="21"/>
        </w:rPr>
        <w:t xml:space="preserve">The development should be held in a Barbados-incorporated special purpose vehicle (SPV). The recommended entity type is a Barbados private limited company incorporated under the Companies Act, Cap. 308. The SPV should be named to reflect the project (for example, Mount Brevitor Development Ltd or similar). The SPV's sole purpose is to hold the 120-acre site, execute the development programme, and distribute net proceeds to shareholders upon completion or progressive lot/unit sales.</w:t>
      </w:r>
    </w:p>
    <w:p>
      <w:pPr>
        <w:spacing w:after="160" w:line="276"/>
        <w:jc w:val="left"/>
      </w:pPr>
      <w:r>
        <w:rPr>
          <w:rFonts w:ascii="Arial" w:cs="Arial" w:eastAsia="Arial" w:hAnsi="Arial"/>
          <w:color w:val="333333"/>
          <w:sz w:val="21"/>
          <w:szCs w:val="21"/>
        </w:rPr>
        <w:t xml:space="preserve">The SPV structure provides asset isolation. If Infinity Developers Inc faces claims, liabilities, or insolvency on other projects, the Mount Brevitor assets and revenue stream are protected within the separate legal entity. This is standard practice for real estate development of this scale and is expected by institutional investors and lenders.</w:t>
      </w:r>
    </w:p>
    <w:p>
      <w:pPr>
        <w:spacing w:after="100" w:before="200"/>
      </w:pPr>
      <w:r>
        <w:rPr>
          <w:rFonts w:ascii="Georgia" w:cs="Georgia" w:eastAsia="Georgia" w:hAnsi="Georgia"/>
          <w:b/>
          <w:bCs/>
          <w:color w:val="1B5E20"/>
          <w:sz w:val="22"/>
          <w:szCs w:val="22"/>
        </w:rPr>
        <w:t xml:space="preserve">SPV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5E20" w:color="auto" w:val="clear"/>
          </w:tcPr>
          <w:p>
            <w:pPr>
              <w:spacing w:after="60" w:before="60"/>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B5E20" w:color="auto" w:val="clear"/>
          </w:tcPr>
          <w:p>
            <w:pPr>
              <w:spacing w:after="60" w:before="60"/>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Entity Type</w:t>
            </w:r>
          </w:p>
        </w:tc>
        <w:tc>
          <w:tcPr>
            <w:tcW w:type="dxa" w:w="616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Barbados private limited company (Companies Act, Cap. 308)</w:t>
            </w:r>
          </w:p>
        </w:tc>
      </w:tr>
      <w:tr>
        <w:tc>
          <w:tcPr>
            <w:tcW w:type="dxa" w:w="32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Proposed Name</w:t>
            </w:r>
          </w:p>
        </w:tc>
        <w:tc>
          <w:tcPr>
            <w:tcW w:type="dxa" w:w="616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Mount Brevitor Development Ltd (subject to name availability)</w:t>
            </w:r>
          </w:p>
        </w:tc>
      </w:tr>
      <w:tr>
        <w:tc>
          <w:tcPr>
            <w:tcW w:type="dxa" w:w="3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Registered Office</w:t>
            </w:r>
          </w:p>
        </w:tc>
        <w:tc>
          <w:tcPr>
            <w:tcW w:type="dxa" w:w="616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Barbados (exact address to be confirmed upon incorporation)</w:t>
            </w:r>
          </w:p>
        </w:tc>
      </w:tr>
      <w:tr>
        <w:tc>
          <w:tcPr>
            <w:tcW w:type="dxa" w:w="32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Authorised Capital</w:t>
            </w:r>
          </w:p>
        </w:tc>
        <w:tc>
          <w:tcPr>
            <w:tcW w:type="dxa" w:w="616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BBD 100,000,000 (USD 50,000,000) divided into ordinary and preference shares</w:t>
            </w:r>
          </w:p>
        </w:tc>
      </w:tr>
      <w:tr>
        <w:tc>
          <w:tcPr>
            <w:tcW w:type="dxa" w:w="3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Share Classes</w:t>
            </w:r>
          </w:p>
        </w:tc>
        <w:tc>
          <w:tcPr>
            <w:tcW w:type="dxa" w:w="616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Class A Ordinary (voting, developer), Class B Ordinary (voting, investors), Class P Preference (non-voting, fixed return)</w:t>
            </w:r>
          </w:p>
        </w:tc>
      </w:tr>
      <w:tr>
        <w:tc>
          <w:tcPr>
            <w:tcW w:type="dxa" w:w="32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Directors</w:t>
            </w:r>
          </w:p>
        </w:tc>
        <w:tc>
          <w:tcPr>
            <w:tcW w:type="dxa" w:w="616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Minimum two. Developer nominee(s) plus independent director recommended.</w:t>
            </w:r>
          </w:p>
        </w:tc>
      </w:tr>
      <w:tr>
        <w:tc>
          <w:tcPr>
            <w:tcW w:type="dxa" w:w="32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Secretary</w:t>
            </w:r>
          </w:p>
        </w:tc>
        <w:tc>
          <w:tcPr>
            <w:tcW w:type="dxa" w:w="616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Required under Cap. 308. May be a Barbados corporate services provider.</w:t>
            </w:r>
          </w:p>
        </w:tc>
      </w:tr>
      <w:tr>
        <w:tc>
          <w:tcPr>
            <w:tcW w:type="dxa" w:w="32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Fiscal Year</w:t>
            </w:r>
          </w:p>
        </w:tc>
        <w:tc>
          <w:tcPr>
            <w:tcW w:type="dxa" w:w="616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Aligned with calendar year (January to December) for tax filing efficiency.</w:t>
            </w:r>
          </w:p>
        </w:tc>
      </w:tr>
    </w:tbl>
    <w:p>
      <w:pPr>
        <w:pStyle w:val="Heading2"/>
        <w:spacing w:after="120" w:before="240"/>
      </w:pPr>
      <w:r>
        <w:rPr>
          <w:rFonts w:ascii="Georgia" w:cs="Georgia" w:eastAsia="Georgia" w:hAnsi="Georgia"/>
          <w:b/>
          <w:bCs/>
          <w:color w:val="1B5E20"/>
          <w:sz w:val="24"/>
          <w:szCs w:val="24"/>
        </w:rPr>
        <w:t xml:space="preserve">1.2 Holding Company Considerations</w:t>
      </w:r>
    </w:p>
    <w:p>
      <w:pPr>
        <w:spacing w:after="160" w:line="276"/>
        <w:jc w:val="left"/>
      </w:pPr>
      <w:r>
        <w:rPr>
          <w:rFonts w:ascii="Arial" w:cs="Arial" w:eastAsia="Arial" w:hAnsi="Arial"/>
          <w:color w:val="333333"/>
          <w:sz w:val="21"/>
          <w:szCs w:val="21"/>
        </w:rPr>
        <w:t xml:space="preserve">Infinity Developers Inc is the developer entity and is already incorporated in Barbados. The developer's equity stake in the SPV should be held directly by Infinity Developers Inc. There is no immediate requirement for an intermediate holding company unless the developer intends to: (a) raise capital from multiple investor groups with different rights and return profiles, requiring separate feeder vehicles; (b) establish a reusable platform for future developments beyond Mount Brevitor; or (c) create a structure that facilitates a future partial or complete exit by the developer.</w:t>
      </w:r>
    </w:p>
    <w:p>
      <w:pPr>
        <w:spacing w:after="160" w:line="276"/>
        <w:jc w:val="left"/>
      </w:pPr>
      <w:r>
        <w:rPr>
          <w:rFonts w:ascii="Arial" w:cs="Arial" w:eastAsia="Arial" w:hAnsi="Arial"/>
          <w:color w:val="333333"/>
          <w:sz w:val="21"/>
          <w:szCs w:val="21"/>
        </w:rPr>
        <w:t xml:space="preserve">If the development is a single-project venture with one or two investor groups, the recommended structure is a simple two-tier arrangement: Infinity Developers Inc holds Class A shares in the SPV, and investors hold Class B or Class P shares directly in the SPV. This minimises incorporation costs, annual filing obligations, and administrative complexity.</w:t>
      </w:r>
    </w:p>
    <w:p>
      <w:pPr>
        <w:pBdr>
          <w:top w:val="single" w:color="B8860B" w:sz="1"/>
          <w:bottom w:val="single" w:color="B8860B" w:sz="1"/>
          <w:left w:val="single" w:color="B8860B" w:sz="4"/>
          <w:right w:val="single" w:color="B8860B" w:sz="1"/>
        </w:pBdr>
        <w:shd w:fill="FFF8E1" w:color="auto" w:val="clear"/>
        <w:spacing w:after="200" w:before="200"/>
      </w:pPr>
      <w:r>
        <w:rPr>
          <w:rFonts w:ascii="Arial" w:cs="Arial" w:eastAsia="Arial" w:hAnsi="Arial"/>
          <w:b/>
          <w:bCs/>
          <w:color w:val="B8860B"/>
          <w:sz w:val="21"/>
          <w:szCs w:val="21"/>
        </w:rPr>
        <w:t xml:space="preserve">FLAG: </w:t>
      </w:r>
      <w:r>
        <w:rPr>
          <w:rFonts w:ascii="Arial" w:cs="Arial" w:eastAsia="Arial" w:hAnsi="Arial"/>
          <w:color w:val="333333"/>
          <w:sz w:val="21"/>
          <w:szCs w:val="21"/>
        </w:rPr>
        <w:t xml:space="preserve">If future developments are planned under the Infinity Developers brand, a holding company (Infinity Holdings Ltd or similar) interposed between the developer and the SPV would create a scalable platform. This decision should be made before the first external capital raise, as restructuring after investor entry is materially more complex and may trigger transfer tax.</w:t>
      </w:r>
    </w:p>
    <w:p>
      <w:pPr>
        <w:pStyle w:val="Heading1"/>
        <w:spacing w:after="120" w:before="360"/>
      </w:pPr>
      <w:r>
        <w:rPr>
          <w:rFonts w:ascii="Georgia" w:cs="Georgia" w:eastAsia="Georgia" w:hAnsi="Georgia"/>
          <w:b/>
          <w:bCs/>
          <w:color w:val="1B5E20"/>
          <w:sz w:val="28"/>
          <w:szCs w:val="28"/>
        </w:rPr>
        <w:t xml:space="preserve">2. Investor Participation Structure</w:t>
      </w:r>
    </w:p>
    <w:p>
      <w:pPr>
        <w:spacing w:after="160" w:line="276"/>
        <w:jc w:val="left"/>
      </w:pPr>
      <w:r>
        <w:rPr>
          <w:rFonts w:ascii="Arial" w:cs="Arial" w:eastAsia="Arial" w:hAnsi="Arial"/>
          <w:color w:val="333333"/>
          <w:sz w:val="21"/>
          <w:szCs w:val="21"/>
        </w:rPr>
        <w:t xml:space="preserve">The SPV should accommodate three categories of capital: developer equity, external equity, and project debt. The share structure and shareholder agreement must clearly define rights, obligations, and exit mechanisms for each category.</w:t>
      </w:r>
    </w:p>
    <w:p>
      <w:pPr>
        <w:pStyle w:val="Heading2"/>
        <w:spacing w:after="120" w:before="240"/>
      </w:pPr>
      <w:r>
        <w:rPr>
          <w:rFonts w:ascii="Georgia" w:cs="Georgia" w:eastAsia="Georgia" w:hAnsi="Georgia"/>
          <w:b/>
          <w:bCs/>
          <w:color w:val="1B5E20"/>
          <w:sz w:val="24"/>
          <w:szCs w:val="24"/>
        </w:rPr>
        <w:t xml:space="preserve">2.1 Developer Equity (Class A Ordinary Shares)</w:t>
      </w:r>
    </w:p>
    <w:p>
      <w:pPr>
        <w:spacing w:after="160" w:line="276"/>
        <w:jc w:val="left"/>
      </w:pPr>
      <w:r>
        <w:rPr>
          <w:rFonts w:ascii="Arial" w:cs="Arial" w:eastAsia="Arial" w:hAnsi="Arial"/>
          <w:color w:val="333333"/>
          <w:sz w:val="21"/>
          <w:szCs w:val="21"/>
        </w:rPr>
        <w:t xml:space="preserve">The developer contributes the land (valued at BBD 25,000,000 / USD 12,500,000 based on the agreed acquisition price) and sweat equity (project management, planning, design oversight). Class A shares carry full voting rights, the right to appoint the majority of directors (subject to investor protective provisions), and a carried interest or promote structure on profits above a defined hurdle rate.</w:t>
      </w:r>
    </w:p>
    <w:p>
      <w:pPr>
        <w:pStyle w:val="Heading2"/>
        <w:spacing w:after="120" w:before="240"/>
      </w:pPr>
      <w:r>
        <w:rPr>
          <w:rFonts w:ascii="Georgia" w:cs="Georgia" w:eastAsia="Georgia" w:hAnsi="Georgia"/>
          <w:b/>
          <w:bCs/>
          <w:color w:val="1B5E20"/>
          <w:sz w:val="24"/>
          <w:szCs w:val="24"/>
        </w:rPr>
        <w:t xml:space="preserve">2.2 External Equity (Class B Ordinary or Class P Preference Shares)</w:t>
      </w:r>
    </w:p>
    <w:p>
      <w:pPr>
        <w:spacing w:after="160" w:line="276"/>
        <w:jc w:val="left"/>
      </w:pPr>
      <w:r>
        <w:rPr>
          <w:rFonts w:ascii="Arial" w:cs="Arial" w:eastAsia="Arial" w:hAnsi="Arial"/>
          <w:color w:val="333333"/>
          <w:sz w:val="21"/>
          <w:szCs w:val="21"/>
        </w:rPr>
        <w:t xml:space="preserve">External investors may participate through Class B ordinary shares (co-investment with shared upside and downside) or Class P preference shares (fixed return priority, limited upside participation). The choice depends on investor appetite and the developer's willingness to share control.</w:t>
      </w:r>
    </w:p>
    <w:p>
      <w:pPr>
        <w:spacing w:after="160" w:line="276"/>
        <w:jc w:val="left"/>
      </w:pPr>
      <w:r>
        <w:rPr>
          <w:rFonts w:ascii="Arial" w:cs="Arial" w:eastAsia="Arial" w:hAnsi="Arial"/>
          <w:color w:val="333333"/>
          <w:sz w:val="21"/>
          <w:szCs w:val="21"/>
        </w:rPr>
        <w:t xml:space="preserve">Class B ordinary shares are appropriate for strategic or institutional investors seeking full participation in development profits. These shares carry voting rights proportional to shareholding, pro-rata distribution rights after the preference return (if any), and tag-along and drag-along rights as defined in the shareholders' agreement.</w:t>
      </w:r>
    </w:p>
    <w:p>
      <w:pPr>
        <w:spacing w:after="160" w:line="276"/>
        <w:jc w:val="left"/>
      </w:pPr>
      <w:r>
        <w:rPr>
          <w:rFonts w:ascii="Arial" w:cs="Arial" w:eastAsia="Arial" w:hAnsi="Arial"/>
          <w:color w:val="333333"/>
          <w:sz w:val="21"/>
          <w:szCs w:val="21"/>
        </w:rPr>
        <w:t xml:space="preserve">Class P preference shares are appropriate for investors seeking a fixed return with capital priority. These shares carry a fixed cumulative dividend (recommended range: 8-12% per annum on invested capital), priority on liquidation or exit (return of capital plus accrued preference before any ordinary distribution), and limited or no voting rights except on matters affecting preference shareholders' interests.</w:t>
      </w:r>
    </w:p>
    <w:p>
      <w:pPr>
        <w:pStyle w:val="Heading2"/>
        <w:spacing w:after="120" w:before="240"/>
      </w:pPr>
      <w:r>
        <w:rPr>
          <w:rFonts w:ascii="Georgia" w:cs="Georgia" w:eastAsia="Georgia" w:hAnsi="Georgia"/>
          <w:b/>
          <w:bCs/>
          <w:color w:val="1B5E20"/>
          <w:sz w:val="24"/>
          <w:szCs w:val="24"/>
        </w:rPr>
        <w:t xml:space="preserve">2.3 Project Debt</w:t>
      </w:r>
    </w:p>
    <w:p>
      <w:pPr>
        <w:spacing w:after="160" w:line="276"/>
        <w:jc w:val="left"/>
      </w:pPr>
      <w:r>
        <w:rPr>
          <w:rFonts w:ascii="Arial" w:cs="Arial" w:eastAsia="Arial" w:hAnsi="Arial"/>
          <w:color w:val="333333"/>
          <w:sz w:val="21"/>
          <w:szCs w:val="21"/>
        </w:rPr>
        <w:t xml:space="preserve">Construction finance and any mezzanine debt should be raised at the SPV level, secured against the project assets. The developer's 95% LTV mortgage product (if delivered through banking partnerships) should be structured as buyer-side financing, not developer-side debt, to avoid encumbering the SPV balance sheet beyond the construction phase. Lender consent to the SPV structure and share pledge arrangements must be obtained before drawdown.</w:t>
      </w:r>
    </w:p>
    <w:p>
      <w:pPr>
        <w:pStyle w:val="Heading1"/>
        <w:spacing w:after="120" w:before="360"/>
      </w:pPr>
      <w:r>
        <w:rPr>
          <w:rFonts w:ascii="Georgia" w:cs="Georgia" w:eastAsia="Georgia" w:hAnsi="Georgia"/>
          <w:b/>
          <w:bCs/>
          <w:color w:val="1B5E20"/>
          <w:sz w:val="28"/>
          <w:szCs w:val="28"/>
        </w:rPr>
        <w:t xml:space="preserve">3. Tax Considerations</w:t>
      </w:r>
    </w:p>
    <w:p>
      <w:pPr>
        <w:spacing w:after="160" w:line="276"/>
        <w:jc w:val="left"/>
      </w:pPr>
      <w:r>
        <w:rPr>
          <w:rFonts w:ascii="Arial" w:cs="Arial" w:eastAsia="Arial" w:hAnsi="Arial"/>
          <w:color w:val="333333"/>
          <w:sz w:val="21"/>
          <w:szCs w:val="21"/>
        </w:rPr>
        <w:t xml:space="preserve">The following analysis summarises the principal tax obligations applicable to the Mount Brevitor SPV and its investors under current Barbados tax law. All figures assume the SPV is a Barbados-resident company for tax purposes and that the project generates Barbados-sourced income.</w:t>
      </w:r>
    </w:p>
    <w:p>
      <w:pPr>
        <w:spacing w:after="100" w:before="200"/>
      </w:pPr>
      <w:r>
        <w:rPr>
          <w:rFonts w:ascii="Georgia" w:cs="Georgia" w:eastAsia="Georgia" w:hAnsi="Georgia"/>
          <w:b/>
          <w:bCs/>
          <w:color w:val="1B5E20"/>
          <w:sz w:val="22"/>
          <w:szCs w:val="22"/>
        </w:rPr>
        <w:t xml:space="preserve">Tax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5E20" w:color="auto" w:val="clear"/>
          </w:tcPr>
          <w:p>
            <w:pPr>
              <w:spacing w:after="60" w:before="60"/>
            </w:pPr>
            <w:r>
              <w:rPr>
                <w:rFonts w:ascii="Arial" w:cs="Arial" w:eastAsia="Arial" w:hAnsi="Arial"/>
                <w:b/>
                <w:bCs/>
                <w:color w:val="FFFFFF"/>
                <w:sz w:val="20"/>
                <w:szCs w:val="20"/>
              </w:rPr>
              <w:t xml:space="preserve">Tax</w:t>
            </w:r>
          </w:p>
        </w:tc>
        <w:tc>
          <w:tcPr>
            <w:tcW w:type="dxa" w:w="2400"/>
            <w:tcBorders>
              <w:top w:val="single" w:color="CCCCCC" w:sz="1"/>
              <w:left w:val="single" w:color="CCCCCC" w:sz="1"/>
              <w:bottom w:val="single" w:color="CCCCCC" w:sz="1"/>
              <w:right w:val="single" w:color="CCCCCC" w:sz="1"/>
            </w:tcBorders>
            <w:shd w:fill="1B5E20" w:color="auto" w:val="clear"/>
          </w:tcPr>
          <w:p>
            <w:pPr>
              <w:spacing w:after="60" w:before="60"/>
            </w:pPr>
            <w:r>
              <w:rPr>
                <w:rFonts w:ascii="Arial" w:cs="Arial" w:eastAsia="Arial" w:hAnsi="Arial"/>
                <w:b/>
                <w:bCs/>
                <w:color w:val="FFFFFF"/>
                <w:sz w:val="20"/>
                <w:szCs w:val="20"/>
              </w:rPr>
              <w:t xml:space="preserve">Rate / Basis</w:t>
            </w:r>
          </w:p>
        </w:tc>
        <w:tc>
          <w:tcPr>
            <w:tcW w:type="dxa" w:w="4560"/>
            <w:tcBorders>
              <w:top w:val="single" w:color="CCCCCC" w:sz="1"/>
              <w:left w:val="single" w:color="CCCCCC" w:sz="1"/>
              <w:bottom w:val="single" w:color="CCCCCC" w:sz="1"/>
              <w:right w:val="single" w:color="CCCCCC" w:sz="1"/>
            </w:tcBorders>
            <w:shd w:fill="1B5E20" w:color="auto" w:val="clear"/>
          </w:tcPr>
          <w:p>
            <w:pPr>
              <w:spacing w:after="60" w:before="6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Corporation Tax</w:t>
            </w:r>
          </w:p>
        </w:tc>
        <w:tc>
          <w:tcPr>
            <w:tcW w:type="dxa" w:w="240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9% standard rate</w:t>
            </w:r>
          </w:p>
        </w:tc>
        <w:tc>
          <w:tcPr>
            <w:tcW w:type="dxa" w:w="456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Applicable to taxable profits of the SPV. Reduced rate of 5.5% applies if gross revenue is BBD 2M or below (unlikely for this project). The 2024 amendment replaced the previous tiered structure (5.5% down to 1%) with a flat 9% rate for most companies.</w:t>
            </w:r>
          </w:p>
        </w:tc>
      </w:tr>
      <w:tr>
        <w:tc>
          <w:tcPr>
            <w:tcW w:type="dxa" w:w="24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Property Transfer Tax</w:t>
            </w:r>
          </w:p>
        </w:tc>
        <w:tc>
          <w:tcPr>
            <w:tcW w:type="dxa" w:w="24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2.5% of consideration</w:t>
            </w:r>
          </w:p>
        </w:tc>
        <w:tc>
          <w:tcPr>
            <w:tcW w:type="dxa" w:w="456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Payable by the seller on transfer of real property above BBD 50,000. The first BBD 150,000 is exempt if a building is included. Applies to initial land acquisition by the SPV and to each unit/lot sale by the SPV to end buyers.</w:t>
            </w:r>
          </w:p>
        </w:tc>
      </w:tr>
      <w:tr>
        <w:tc>
          <w:tcPr>
            <w:tcW w:type="dxa" w:w="24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Stamp Duty</w:t>
            </w:r>
          </w:p>
        </w:tc>
        <w:tc>
          <w:tcPr>
            <w:tcW w:type="dxa" w:w="240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1% of consideration</w:t>
            </w:r>
          </w:p>
        </w:tc>
        <w:tc>
          <w:tcPr>
            <w:tcW w:type="dxa" w:w="456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Payable on the deed of conveyance. BBD 10 per BBD 1,000 or part thereof. Must be stamped within 30 days of execution. Combined with property transfer tax, total seller-side transfer cost is 3.5%.</w:t>
            </w:r>
          </w:p>
        </w:tc>
      </w:tr>
      <w:tr>
        <w:tc>
          <w:tcPr>
            <w:tcW w:type="dxa" w:w="24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Land Tax</w:t>
            </w:r>
          </w:p>
        </w:tc>
        <w:tc>
          <w:tcPr>
            <w:tcW w:type="dxa" w:w="24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Variable (site value basis)</w:t>
            </w:r>
          </w:p>
        </w:tc>
        <w:tc>
          <w:tcPr>
            <w:tcW w:type="dxa" w:w="456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Annual tax assessed by the Barbados Revenue Authority based on improved site value. The 2025-2026 land tax bills have been issued. Land tax is a holding cost during the development phase and should be factored into the cash flow model.</w:t>
            </w:r>
          </w:p>
        </w:tc>
      </w:tr>
      <w:tr>
        <w:tc>
          <w:tcPr>
            <w:tcW w:type="dxa" w:w="24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Withholding Tax on Dividends</w:t>
            </w:r>
          </w:p>
        </w:tc>
        <w:tc>
          <w:tcPr>
            <w:tcW w:type="dxa" w:w="240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0% (non-resident)</w:t>
            </w:r>
          </w:p>
        </w:tc>
        <w:tc>
          <w:tcPr>
            <w:tcW w:type="dxa" w:w="456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Barbados does not impose withholding tax on dividends paid to non-resident shareholders. This is a significant structural advantage for international investors. Treaty network (40+ DTAs including UK, US, Canada) provides additional protection.</w:t>
            </w:r>
          </w:p>
        </w:tc>
      </w:tr>
      <w:tr>
        <w:tc>
          <w:tcPr>
            <w:tcW w:type="dxa" w:w="24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Withholding Tax on Interest</w:t>
            </w:r>
          </w:p>
        </w:tc>
        <w:tc>
          <w:tcPr>
            <w:tcW w:type="dxa" w:w="24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15% (standard)</w:t>
            </w:r>
          </w:p>
        </w:tc>
        <w:tc>
          <w:tcPr>
            <w:tcW w:type="dxa" w:w="456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WHT applies to interest paid to non-residents. Reduced rates may apply under applicable DTAs. If construction finance is sourced from international lenders, the effective WHT rate should be confirmed under the relevant treaty.</w:t>
            </w:r>
          </w:p>
        </w:tc>
      </w:tr>
      <w:tr>
        <w:tc>
          <w:tcPr>
            <w:tcW w:type="dxa" w:w="24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VAT</w:t>
            </w:r>
          </w:p>
        </w:tc>
        <w:tc>
          <w:tcPr>
            <w:tcW w:type="dxa" w:w="240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17.5% standard</w:t>
            </w:r>
          </w:p>
        </w:tc>
        <w:tc>
          <w:tcPr>
            <w:tcW w:type="dxa" w:w="456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Applies to construction services, professional fees, and commercial supplies. Residential property sales are generally exempt from VAT. The SPV may be eligible for input VAT recovery on construction costs related to commercial components (X Range, retail).</w:t>
            </w:r>
          </w:p>
        </w:tc>
      </w:tr>
      <w:tr>
        <w:tc>
          <w:tcPr>
            <w:tcW w:type="dxa" w:w="24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Global Minimum Tax</w:t>
            </w:r>
          </w:p>
        </w:tc>
        <w:tc>
          <w:tcPr>
            <w:tcW w:type="dxa" w:w="24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15% top-up</w:t>
            </w:r>
          </w:p>
        </w:tc>
        <w:tc>
          <w:tcPr>
            <w:tcW w:type="dxa" w:w="456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Barbados introduced a 15% top-up tax effective January 2024, aligned with the OECD Pillar Two framework. Applies to groups with global revenue exceeding EUR 750M. Unlikely to apply to this project unless the investor group includes a qualifying multinational.</w:t>
            </w:r>
          </w:p>
        </w:tc>
      </w:tr>
    </w:tbl>
    <w:p>
      <w:pPr>
        <w:spacing w:after="160" w:before="160"/>
      </w:pPr>
      <w:r>
        <w:rPr>
          <w:rFonts w:ascii="Arial" w:cs="Arial" w:eastAsia="Arial" w:hAnsi="Arial"/>
          <w:i/>
          <w:iCs/>
          <w:color w:val="999999"/>
          <w:sz w:val="18"/>
          <w:szCs w:val="18"/>
        </w:rPr>
        <w:t xml:space="preserve">Source: PWC Barbados Tax Summary 2025; Barbados Revenue Authority; Morris Legal Barbados.</w:t>
      </w:r>
    </w:p>
    <w:p>
      <w:pPr>
        <w:pBdr>
          <w:top w:val="single" w:color="B8860B" w:sz="1"/>
          <w:bottom w:val="single" w:color="B8860B" w:sz="1"/>
          <w:left w:val="single" w:color="B8860B" w:sz="4"/>
          <w:right w:val="single" w:color="B8860B" w:sz="1"/>
        </w:pBdr>
        <w:shd w:fill="FFF8E1" w:color="auto" w:val="clear"/>
        <w:spacing w:after="200" w:before="200"/>
      </w:pPr>
      <w:r>
        <w:rPr>
          <w:rFonts w:ascii="Arial" w:cs="Arial" w:eastAsia="Arial" w:hAnsi="Arial"/>
          <w:b/>
          <w:bCs/>
          <w:color w:val="B8860B"/>
          <w:sz w:val="21"/>
          <w:szCs w:val="21"/>
        </w:rPr>
        <w:t xml:space="preserve">FLAG: </w:t>
      </w:r>
      <w:r>
        <w:rPr>
          <w:rFonts w:ascii="Arial" w:cs="Arial" w:eastAsia="Arial" w:hAnsi="Arial"/>
          <w:color w:val="333333"/>
          <w:sz w:val="21"/>
          <w:szCs w:val="21"/>
        </w:rPr>
        <w:t xml:space="preserve">The combined seller-side transfer cost (property transfer tax 2.5% plus stamp duty 1.0% = 3.5%) applies to every unit sale by the SPV. On projected gross revenue of BBD 198.3M (USD 99.2M), this represents approximately BBD 6.9M (USD 3.5M) in transaction taxes. This must be reflected in the financial model as a cost of sale, not an overhead.</w:t>
      </w:r>
    </w:p>
    <w:p>
      <w:pPr>
        <w:pStyle w:val="Heading1"/>
        <w:spacing w:after="120" w:before="360"/>
      </w:pPr>
      <w:r>
        <w:rPr>
          <w:rFonts w:ascii="Georgia" w:cs="Georgia" w:eastAsia="Georgia" w:hAnsi="Georgia"/>
          <w:b/>
          <w:bCs/>
          <w:color w:val="1B5E20"/>
          <w:sz w:val="28"/>
          <w:szCs w:val="28"/>
        </w:rPr>
        <w:t xml:space="preserve">4. Joint Venture Structure: Pros and Cons</w:t>
      </w:r>
    </w:p>
    <w:p>
      <w:pPr>
        <w:spacing w:after="160" w:line="276"/>
        <w:jc w:val="left"/>
      </w:pPr>
      <w:r>
        <w:rPr>
          <w:rFonts w:ascii="Arial" w:cs="Arial" w:eastAsia="Arial" w:hAnsi="Arial"/>
          <w:color w:val="333333"/>
          <w:sz w:val="21"/>
          <w:szCs w:val="21"/>
        </w:rPr>
        <w:t xml:space="preserve">If the developer seeks a strategic partner (rather than passive investors), a joint venture (JV) structure may be appropriate. The JV can be implemented through the same SPV by adjusting shareholding proportions and governance provisions. The following analysis compares the JV approach against a sole-developer model with passive investor 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5E20" w:color="auto" w:val="clear"/>
          </w:tcPr>
          <w:p>
            <w:pPr>
              <w:spacing w:after="60" w:before="60"/>
            </w:pPr>
            <w:r>
              <w:rPr>
                <w:rFonts w:ascii="Arial" w:cs="Arial" w:eastAsia="Arial" w:hAnsi="Arial"/>
                <w:b/>
                <w:bCs/>
                <w:color w:val="FFFFFF"/>
                <w:sz w:val="20"/>
                <w:szCs w:val="20"/>
              </w:rPr>
              <w:t xml:space="preserve">Factor</w:t>
            </w:r>
          </w:p>
        </w:tc>
        <w:tc>
          <w:tcPr>
            <w:tcW w:type="dxa" w:w="3780"/>
            <w:tcBorders>
              <w:top w:val="single" w:color="CCCCCC" w:sz="1"/>
              <w:left w:val="single" w:color="CCCCCC" w:sz="1"/>
              <w:bottom w:val="single" w:color="CCCCCC" w:sz="1"/>
              <w:right w:val="single" w:color="CCCCCC" w:sz="1"/>
            </w:tcBorders>
            <w:shd w:fill="1B5E20" w:color="auto" w:val="clear"/>
          </w:tcPr>
          <w:p>
            <w:pPr>
              <w:spacing w:after="60" w:before="60"/>
            </w:pPr>
            <w:r>
              <w:rPr>
                <w:rFonts w:ascii="Arial" w:cs="Arial" w:eastAsia="Arial" w:hAnsi="Arial"/>
                <w:b/>
                <w:bCs/>
                <w:color w:val="FFFFFF"/>
                <w:sz w:val="20"/>
                <w:szCs w:val="20"/>
              </w:rPr>
              <w:t xml:space="preserve">JV with Strategic Partner</w:t>
            </w:r>
          </w:p>
        </w:tc>
        <w:tc>
          <w:tcPr>
            <w:tcW w:type="dxa" w:w="3780"/>
            <w:tcBorders>
              <w:top w:val="single" w:color="CCCCCC" w:sz="1"/>
              <w:left w:val="single" w:color="CCCCCC" w:sz="1"/>
              <w:bottom w:val="single" w:color="CCCCCC" w:sz="1"/>
              <w:right w:val="single" w:color="CCCCCC" w:sz="1"/>
            </w:tcBorders>
            <w:shd w:fill="1B5E20" w:color="auto" w:val="clear"/>
          </w:tcPr>
          <w:p>
            <w:pPr>
              <w:spacing w:after="60" w:before="60"/>
            </w:pPr>
            <w:r>
              <w:rPr>
                <w:rFonts w:ascii="Arial" w:cs="Arial" w:eastAsia="Arial" w:hAnsi="Arial"/>
                <w:b/>
                <w:bCs/>
                <w:color w:val="FFFFFF"/>
                <w:sz w:val="20"/>
                <w:szCs w:val="20"/>
              </w:rPr>
              <w:t xml:space="preserve">Sole Developer + Passive Investors</w:t>
            </w:r>
          </w:p>
        </w:tc>
      </w:tr>
      <w:tr>
        <w:tc>
          <w:tcPr>
            <w:tcW w:type="dxa" w:w="18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Control</w:t>
            </w:r>
          </w:p>
        </w:tc>
        <w:tc>
          <w:tcPr>
            <w:tcW w:type="dxa" w:w="37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Shared. Requires consensus on material decisions (budget, design, pricing, phasing). JV agreement must define reserved matters and deadlock resolution.</w:t>
            </w:r>
          </w:p>
        </w:tc>
        <w:tc>
          <w:tcPr>
            <w:tcW w:type="dxa" w:w="37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Full developer control. Investors have protective provisions only (consent for material deviations from approved plan, related-party transactions, capital calls).</w:t>
            </w:r>
          </w:p>
        </w:tc>
      </w:tr>
      <w:tr>
        <w:tc>
          <w:tcPr>
            <w:tcW w:type="dxa" w:w="18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Capital Access</w:t>
            </w:r>
          </w:p>
        </w:tc>
        <w:tc>
          <w:tcPr>
            <w:tcW w:type="dxa" w:w="378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Stronger. JV partner brings equity and may guarantee or support debt. Reduces developer capital requirement and risk.</w:t>
            </w:r>
          </w:p>
        </w:tc>
        <w:tc>
          <w:tcPr>
            <w:tcW w:type="dxa" w:w="378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Depends on investor appetite. Passive equity or preference shares may require developer guarantee on debt. Capital raising is developer's responsibility.</w:t>
            </w:r>
          </w:p>
        </w:tc>
      </w:tr>
      <w:tr>
        <w:tc>
          <w:tcPr>
            <w:tcW w:type="dxa" w:w="18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Expertise</w:t>
            </w:r>
          </w:p>
        </w:tc>
        <w:tc>
          <w:tcPr>
            <w:tcW w:type="dxa" w:w="37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Potential access to JV partner's development expertise, brand, procurement power, or market relationships.</w:t>
            </w:r>
          </w:p>
        </w:tc>
        <w:tc>
          <w:tcPr>
            <w:tcW w:type="dxa" w:w="37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Developer relies on own team and consultants. No operational input from investors.</w:t>
            </w:r>
          </w:p>
        </w:tc>
      </w:tr>
      <w:tr>
        <w:tc>
          <w:tcPr>
            <w:tcW w:type="dxa" w:w="18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Profit Split</w:t>
            </w:r>
          </w:p>
        </w:tc>
        <w:tc>
          <w:tcPr>
            <w:tcW w:type="dxa" w:w="378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Negotiated. Typically 50/50 or proportional to equity. Developer may negotiate a promote (e.g. 50/50 to a 15% IRR hurdle, then 60/40 above).</w:t>
            </w:r>
          </w:p>
        </w:tc>
        <w:tc>
          <w:tcPr>
            <w:tcW w:type="dxa" w:w="378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Developer retains all residual profit after preference returns. Higher upside but higher risk.</w:t>
            </w:r>
          </w:p>
        </w:tc>
      </w:tr>
      <w:tr>
        <w:tc>
          <w:tcPr>
            <w:tcW w:type="dxa" w:w="1800"/>
            <w:tcBorders>
              <w:top w:val="single" w:color="CCCCCC" w:sz="1"/>
              <w:left w:val="single" w:color="CCCCCC" w:sz="1"/>
              <w:bottom w:val="single" w:color="CCCCCC" w:sz="1"/>
              <w:right w:val="single" w:color="CCCCCC" w:sz="1"/>
            </w:tcBorders>
          </w:tcPr>
          <w:p>
            <w:pPr>
              <w:spacing w:after="40" w:before="40"/>
            </w:pPr>
            <w:r>
              <w:rPr>
                <w:rFonts w:ascii="Arial" w:cs="Arial" w:eastAsia="Arial" w:hAnsi="Arial"/>
                <w:b/>
                <w:bCs/>
                <w:color w:val="333333"/>
                <w:sz w:val="20"/>
                <w:szCs w:val="20"/>
              </w:rPr>
              <w:t xml:space="preserve">Deadlock Risk</w:t>
            </w:r>
          </w:p>
        </w:tc>
        <w:tc>
          <w:tcPr>
            <w:tcW w:type="dxa" w:w="37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Material. 50/50 JVs frequently encounter decision paralysis. Require robust deadlock mechanisms (escalation, buy/sell, shotgun clause).</w:t>
            </w:r>
          </w:p>
        </w:tc>
        <w:tc>
          <w:tcPr>
            <w:tcW w:type="dxa" w:w="3780"/>
            <w:tcBorders>
              <w:top w:val="single" w:color="CCCCCC" w:sz="1"/>
              <w:left w:val="single" w:color="CCCCCC" w:sz="1"/>
              <w:bottom w:val="single" w:color="CCCCCC" w:sz="1"/>
              <w:right w:val="single" w:color="CCCCCC" w:sz="1"/>
            </w:tcBorders>
          </w:tcPr>
          <w:p>
            <w:pPr>
              <w:spacing w:after="40" w:before="40"/>
            </w:pPr>
            <w:r>
              <w:rPr>
                <w:rFonts w:ascii="Arial" w:cs="Arial" w:eastAsia="Arial" w:hAnsi="Arial"/>
                <w:color w:val="333333"/>
                <w:sz w:val="20"/>
                <w:szCs w:val="20"/>
              </w:rPr>
              <w:t xml:space="preserve">Minimal. Developer decides. Investor recourse is limited to consent rights and exit provisions.</w:t>
            </w:r>
          </w:p>
        </w:tc>
      </w:tr>
      <w:tr>
        <w:tc>
          <w:tcPr>
            <w:tcW w:type="dxa" w:w="180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b/>
                <w:bCs/>
                <w:color w:val="333333"/>
                <w:sz w:val="20"/>
                <w:szCs w:val="20"/>
              </w:rPr>
              <w:t xml:space="preserve">Exit</w:t>
            </w:r>
          </w:p>
        </w:tc>
        <w:tc>
          <w:tcPr>
            <w:tcW w:type="dxa" w:w="378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Complex. Pre-emption rights, valuation mechanics, and forced sale provisions must be agreed upfront. Exit may require partner consent or trigger tag/drag rights.</w:t>
            </w:r>
          </w:p>
        </w:tc>
        <w:tc>
          <w:tcPr>
            <w:tcW w:type="dxa" w:w="3780"/>
            <w:tcBorders>
              <w:top w:val="single" w:color="CCCCCC" w:sz="1"/>
              <w:left w:val="single" w:color="CCCCCC" w:sz="1"/>
              <w:bottom w:val="single" w:color="CCCCCC" w:sz="1"/>
              <w:right w:val="single" w:color="CCCCCC" w:sz="1"/>
            </w:tcBorders>
            <w:shd w:fill="F5F5F0" w:color="auto" w:val="clear"/>
          </w:tcPr>
          <w:p>
            <w:pPr>
              <w:spacing w:after="40" w:before="40"/>
            </w:pPr>
            <w:r>
              <w:rPr>
                <w:rFonts w:ascii="Arial" w:cs="Arial" w:eastAsia="Arial" w:hAnsi="Arial"/>
                <w:color w:val="333333"/>
                <w:sz w:val="20"/>
                <w:szCs w:val="20"/>
              </w:rPr>
              <w:t xml:space="preserve">Simpler. Investor exit through share buyback, preference redemption, or secondary sale. Developer exit through project completion and wind-down of SPV.</w:t>
            </w:r>
          </w:p>
        </w:tc>
      </w:tr>
      <w:tr>
        <w:tc>
          <w:tcPr>
            <w:tcW w:type="dxa" w:w="1800"/>
            <w:tcBorders>
              <w:top w:val="single" w:color="CCCCCC" w:sz="1"/>
              <w:left w:val="single" w:color="CCCCCC" w:sz="1"/>
              <w:bottom w:val="single" w:color="CCCCCC" w:sz="1"/>
              <w:right w:val="single" w:color="CCCCCC" w:sz="1"/>
            </w:tcBorders>
            <w:shd w:fill="E8F5E9" w:color="auto" w:val="clear"/>
          </w:tcPr>
          <w:p>
            <w:pPr>
              <w:spacing w:after="40" w:before="40"/>
            </w:pPr>
            <w:r>
              <w:rPr>
                <w:rFonts w:ascii="Arial" w:cs="Arial" w:eastAsia="Arial" w:hAnsi="Arial"/>
                <w:b/>
                <w:bCs/>
                <w:color w:val="333333"/>
                <w:sz w:val="20"/>
                <w:szCs w:val="20"/>
              </w:rPr>
              <w:t xml:space="preserve">Recommendation</w:t>
            </w:r>
          </w:p>
        </w:tc>
        <w:tc>
          <w:tcPr>
            <w:tcW w:type="dxa" w:w="3780"/>
            <w:tcBorders>
              <w:top w:val="single" w:color="CCCCCC" w:sz="1"/>
              <w:left w:val="single" w:color="CCCCCC" w:sz="1"/>
              <w:bottom w:val="single" w:color="CCCCCC" w:sz="1"/>
              <w:right w:val="single" w:color="CCCCCC" w:sz="1"/>
            </w:tcBorders>
            <w:shd w:fill="E8F5E9" w:color="auto" w:val="clear"/>
          </w:tcPr>
          <w:p>
            <w:pPr>
              <w:spacing w:after="40" w:before="40"/>
            </w:pPr>
            <w:r>
              <w:rPr>
                <w:rFonts w:ascii="Arial" w:cs="Arial" w:eastAsia="Arial" w:hAnsi="Arial"/>
                <w:color w:val="333333"/>
                <w:sz w:val="20"/>
                <w:szCs w:val="20"/>
              </w:rPr>
              <w:t xml:space="preserve">Pursue JV only if the partner brings material capital (USD 10M+), brand value, or operational capability that the developer cannot source independently.</w:t>
            </w:r>
          </w:p>
        </w:tc>
        <w:tc>
          <w:tcPr>
            <w:tcW w:type="dxa" w:w="3780"/>
            <w:tcBorders>
              <w:top w:val="single" w:color="CCCCCC" w:sz="1"/>
              <w:left w:val="single" w:color="CCCCCC" w:sz="1"/>
              <w:bottom w:val="single" w:color="CCCCCC" w:sz="1"/>
              <w:right w:val="single" w:color="CCCCCC" w:sz="1"/>
            </w:tcBorders>
            <w:shd w:fill="E8F5E9" w:color="auto" w:val="clear"/>
          </w:tcPr>
          <w:p>
            <w:pPr>
              <w:spacing w:after="40" w:before="40"/>
            </w:pPr>
            <w:r>
              <w:rPr>
                <w:rFonts w:ascii="Arial" w:cs="Arial" w:eastAsia="Arial" w:hAnsi="Arial"/>
                <w:color w:val="333333"/>
                <w:sz w:val="20"/>
                <w:szCs w:val="20"/>
              </w:rPr>
              <w:t xml:space="preserve">Preferred structure for Phase 1-2 if the developer can secure sufficient passive equity and construction finance. Preserves control and maximises developer upside.</w:t>
            </w:r>
          </w:p>
        </w:tc>
      </w:tr>
    </w:tbl>
    <w:p>
      <w:pPr>
        <w:pBdr>
          <w:top w:val="single" w:color="B8860B" w:sz="1"/>
          <w:bottom w:val="single" w:color="B8860B" w:sz="1"/>
          <w:left w:val="single" w:color="B8860B" w:sz="4"/>
          <w:right w:val="single" w:color="B8860B" w:sz="1"/>
        </w:pBdr>
        <w:shd w:fill="FFF8E1" w:color="auto" w:val="clear"/>
        <w:spacing w:after="200" w:before="200"/>
      </w:pPr>
      <w:r>
        <w:rPr>
          <w:rFonts w:ascii="Arial" w:cs="Arial" w:eastAsia="Arial" w:hAnsi="Arial"/>
          <w:b/>
          <w:bCs/>
          <w:color w:val="B8860B"/>
          <w:sz w:val="21"/>
          <w:szCs w:val="21"/>
        </w:rPr>
        <w:t xml:space="preserve">FLAG: </w:t>
      </w:r>
      <w:r>
        <w:rPr>
          <w:rFonts w:ascii="Arial" w:cs="Arial" w:eastAsia="Arial" w:hAnsi="Arial"/>
          <w:color w:val="333333"/>
          <w:sz w:val="21"/>
          <w:szCs w:val="21"/>
        </w:rPr>
        <w:t xml:space="preserve">The developer's current business plan does not identify a JV partner. If a JV is pursued, the shareholders' agreement must be drafted before any capital commitment. Key JV terms (reserved matters, deadlock, profit waterfall, exit) should be agreed in a heads of terms document before legal drafting begins. Estimated legal cost for a full JV agreement: BBD 100,000-200,000 (USD 50,000-100,000).</w:t>
      </w:r>
    </w:p>
    <w:p>
      <w:pPr>
        <w:pStyle w:val="Heading1"/>
        <w:spacing w:after="120" w:before="360"/>
      </w:pPr>
      <w:r>
        <w:rPr>
          <w:rFonts w:ascii="Georgia" w:cs="Georgia" w:eastAsia="Georgia" w:hAnsi="Georgia"/>
          <w:b/>
          <w:bCs/>
          <w:color w:val="1B5E20"/>
          <w:sz w:val="28"/>
          <w:szCs w:val="28"/>
        </w:rPr>
        <w:t xml:space="preserve">5. Regulatory Compliance</w:t>
      </w:r>
    </w:p>
    <w:p>
      <w:pPr>
        <w:pStyle w:val="Heading2"/>
        <w:spacing w:after="120" w:before="240"/>
      </w:pPr>
      <w:r>
        <w:rPr>
          <w:rFonts w:ascii="Georgia" w:cs="Georgia" w:eastAsia="Georgia" w:hAnsi="Georgia"/>
          <w:b/>
          <w:bCs/>
          <w:color w:val="1B5E20"/>
          <w:sz w:val="24"/>
          <w:szCs w:val="24"/>
        </w:rPr>
        <w:t xml:space="preserve">5.1 Company Registration</w:t>
      </w:r>
    </w:p>
    <w:p>
      <w:pPr>
        <w:spacing w:after="160" w:line="276"/>
        <w:jc w:val="left"/>
      </w:pPr>
      <w:r>
        <w:rPr>
          <w:rFonts w:ascii="Arial" w:cs="Arial" w:eastAsia="Arial" w:hAnsi="Arial"/>
          <w:color w:val="333333"/>
          <w:sz w:val="21"/>
          <w:szCs w:val="21"/>
        </w:rPr>
        <w:t xml:space="preserve">The SPV must be incorporated with the Barbados Corporate Affairs and Intellectual Property Office (CAIPO). Registration requires: articles of incorporation and by-laws, notice of registered office and directors, payment of incorporation fees (scaled by authorised capital), and annual filing of returns and financial statements. A Barbados-resident director is advisable but not strictly required under Cap. 308. Annual returns must be filed with CAIPO and the Barbados Revenue Authority.</w:t>
      </w:r>
    </w:p>
    <w:p>
      <w:pPr>
        <w:pStyle w:val="Heading2"/>
        <w:spacing w:after="120" w:before="240"/>
      </w:pPr>
      <w:r>
        <w:rPr>
          <w:rFonts w:ascii="Georgia" w:cs="Georgia" w:eastAsia="Georgia" w:hAnsi="Georgia"/>
          <w:b/>
          <w:bCs/>
          <w:color w:val="1B5E20"/>
          <w:sz w:val="24"/>
          <w:szCs w:val="24"/>
        </w:rPr>
        <w:t xml:space="preserve">5.2 Beneficial Ownership Disclosure</w:t>
      </w:r>
    </w:p>
    <w:p>
      <w:pPr>
        <w:spacing w:after="160" w:line="276"/>
        <w:jc w:val="left"/>
      </w:pPr>
      <w:r>
        <w:rPr>
          <w:rFonts w:ascii="Arial" w:cs="Arial" w:eastAsia="Arial" w:hAnsi="Arial"/>
          <w:color w:val="333333"/>
          <w:sz w:val="21"/>
          <w:szCs w:val="21"/>
        </w:rPr>
        <w:t xml:space="preserve">Barbados requires all companies to maintain current information on their beneficial owners at their registered office. Beneficial owners are defined as natural persons who ultimately own or control the company. Companies must certify through domestic annual returns that beneficial ownership information is accurate and must notify the registrar of changes within 14 days. While Barbados does not yet operate a centralised public beneficial ownership register, the requirements align with FATF standards and are subject to increasing scrutiny following Barbados's AML/CFT National Plan revisions.</w:t>
      </w:r>
    </w:p>
    <w:p>
      <w:pPr>
        <w:spacing w:after="160" w:line="276"/>
        <w:jc w:val="left"/>
      </w:pPr>
      <w:r>
        <w:rPr>
          <w:rFonts w:ascii="Arial" w:cs="Arial" w:eastAsia="Arial" w:hAnsi="Arial"/>
          <w:color w:val="333333"/>
          <w:sz w:val="21"/>
          <w:szCs w:val="21"/>
        </w:rPr>
        <w:t xml:space="preserve">For the SPV, this means: all shareholders (developer and investors) who hold 25% or more of shares or voting rights must be disclosed as beneficial owners; if shares are held through corporate entities, the ultimate natural persons must be identified up the chain; and the company secretary or registered agent must maintain the beneficial ownership register and ensure timely updates.</w:t>
      </w:r>
    </w:p>
    <w:p>
      <w:pPr>
        <w:pStyle w:val="Heading2"/>
        <w:spacing w:after="120" w:before="240"/>
      </w:pPr>
      <w:r>
        <w:rPr>
          <w:rFonts w:ascii="Georgia" w:cs="Georgia" w:eastAsia="Georgia" w:hAnsi="Georgia"/>
          <w:b/>
          <w:bCs/>
          <w:color w:val="1B5E20"/>
          <w:sz w:val="24"/>
          <w:szCs w:val="24"/>
        </w:rPr>
        <w:t xml:space="preserve">5.3 Foreign Exchange Controls</w:t>
      </w:r>
    </w:p>
    <w:p>
      <w:pPr>
        <w:spacing w:after="160" w:line="276"/>
        <w:jc w:val="left"/>
      </w:pPr>
      <w:r>
        <w:rPr>
          <w:rFonts w:ascii="Arial" w:cs="Arial" w:eastAsia="Arial" w:hAnsi="Arial"/>
          <w:color w:val="333333"/>
          <w:sz w:val="21"/>
          <w:szCs w:val="21"/>
        </w:rPr>
        <w:t xml:space="preserve">Barbados operates an exchange control regime administered by the Central Bank of Barbados (CBB). The key requirements for non-resident investors in the Mount Brevitor SPV are as follows.</w:t>
      </w:r>
    </w:p>
    <w:p>
      <w:pPr>
        <w:pStyle w:val="ListParagraph"/>
        <w:numPr>
          <w:ilvl w:val="0"/>
          <w:numId w:val="2"/>
        </w:numPr>
        <w:spacing w:after="100" w:line="276"/>
      </w:pPr>
      <w:r>
        <w:rPr>
          <w:rFonts w:ascii="Arial" w:cs="Arial" w:eastAsia="Arial" w:hAnsi="Arial"/>
          <w:color w:val="333333"/>
          <w:sz w:val="21"/>
          <w:szCs w:val="21"/>
        </w:rPr>
        <w:t xml:space="preserve">Non-resident investors must register their foreign currency investment with the Exchange Control Authority (ECA) at the time of investment. This registration is essential for future repatriation of capital and profits.</w:t>
      </w:r>
    </w:p>
    <w:p>
      <w:pPr>
        <w:pStyle w:val="ListParagraph"/>
        <w:numPr>
          <w:ilvl w:val="0"/>
          <w:numId w:val="2"/>
        </w:numPr>
        <w:spacing w:after="100" w:line="276"/>
      </w:pPr>
      <w:r>
        <w:rPr>
          <w:rFonts w:ascii="Arial" w:cs="Arial" w:eastAsia="Arial" w:hAnsi="Arial"/>
          <w:color w:val="333333"/>
          <w:sz w:val="21"/>
          <w:szCs w:val="21"/>
        </w:rPr>
        <w:t xml:space="preserve">The ECA issues a Certificate of Registration upon approval. This certificate must be retained and presented when repatriation is requested.</w:t>
      </w:r>
    </w:p>
    <w:p>
      <w:pPr>
        <w:pStyle w:val="ListParagraph"/>
        <w:numPr>
          <w:ilvl w:val="0"/>
          <w:numId w:val="2"/>
        </w:numPr>
        <w:spacing w:after="100" w:line="276"/>
      </w:pPr>
      <w:r>
        <w:rPr>
          <w:rFonts w:ascii="Arial" w:cs="Arial" w:eastAsia="Arial" w:hAnsi="Arial"/>
          <w:color w:val="333333"/>
          <w:sz w:val="21"/>
          <w:szCs w:val="21"/>
        </w:rPr>
        <w:t xml:space="preserve">Dividends, profits, interest, and rental income may be remitted to non-residents provided the original investment was registered.</w:t>
      </w:r>
    </w:p>
    <w:p>
      <w:pPr>
        <w:pStyle w:val="ListParagraph"/>
        <w:numPr>
          <w:ilvl w:val="0"/>
          <w:numId w:val="2"/>
        </w:numPr>
        <w:spacing w:after="100" w:line="276"/>
      </w:pPr>
      <w:r>
        <w:rPr>
          <w:rFonts w:ascii="Arial" w:cs="Arial" w:eastAsia="Arial" w:hAnsi="Arial"/>
          <w:color w:val="333333"/>
          <w:sz w:val="21"/>
          <w:szCs w:val="21"/>
        </w:rPr>
        <w:t xml:space="preserve">Sale proceeds from real property may be repatriated if the original purchase was made with registered foreign currency.</w:t>
      </w:r>
    </w:p>
    <w:p>
      <w:pPr>
        <w:pStyle w:val="ListParagraph"/>
        <w:numPr>
          <w:ilvl w:val="0"/>
          <w:numId w:val="2"/>
        </w:numPr>
        <w:spacing w:after="100" w:line="276"/>
      </w:pPr>
      <w:r>
        <w:rPr>
          <w:rFonts w:ascii="Arial" w:cs="Arial" w:eastAsia="Arial" w:hAnsi="Arial"/>
          <w:color w:val="333333"/>
          <w:sz w:val="21"/>
          <w:szCs w:val="21"/>
        </w:rPr>
        <w:t xml:space="preserve">The Barbados dollar is pegged to the US dollar at BBD 2.00 = USD 1.00. This peg has been maintained since 1975 and provides currency stability for foreign investors.</w:t>
      </w:r>
    </w:p>
    <w:p>
      <w:pPr>
        <w:spacing w:after="160" w:line="276"/>
        <w:jc w:val="left"/>
      </w:pPr>
      <w:r>
        <w:rPr>
          <w:rFonts w:ascii="Arial" w:cs="Arial" w:eastAsia="Arial" w:hAnsi="Arial"/>
          <w:color w:val="333333"/>
          <w:sz w:val="21"/>
          <w:szCs w:val="21"/>
        </w:rPr>
        <w:t xml:space="preserve">The Government of Barbados has signalled an intention to liberalise the exchange control regime, but the current framework remains in effect. All non-resident capital contributions to the SPV must be registered with the ECA before or at the time of remittance to Barbados.</w:t>
      </w:r>
    </w:p>
    <w:p>
      <w:pPr>
        <w:pBdr>
          <w:top w:val="single" w:color="B8860B" w:sz="1"/>
          <w:bottom w:val="single" w:color="B8860B" w:sz="1"/>
          <w:left w:val="single" w:color="B8860B" w:sz="4"/>
          <w:right w:val="single" w:color="B8860B" w:sz="1"/>
        </w:pBdr>
        <w:shd w:fill="FFF8E1" w:color="auto" w:val="clear"/>
        <w:spacing w:after="200" w:before="200"/>
      </w:pPr>
      <w:r>
        <w:rPr>
          <w:rFonts w:ascii="Arial" w:cs="Arial" w:eastAsia="Arial" w:hAnsi="Arial"/>
          <w:b/>
          <w:bCs/>
          <w:color w:val="B8860B"/>
          <w:sz w:val="21"/>
          <w:szCs w:val="21"/>
        </w:rPr>
        <w:t xml:space="preserve">FLAG: </w:t>
      </w:r>
      <w:r>
        <w:rPr>
          <w:rFonts w:ascii="Arial" w:cs="Arial" w:eastAsia="Arial" w:hAnsi="Arial"/>
          <w:color w:val="333333"/>
          <w:sz w:val="21"/>
          <w:szCs w:val="21"/>
        </w:rPr>
        <w:t xml:space="preserve">Failure to register foreign currency with the ECA at the time of investment may permanently impair the investor's ability to repatriate capital and profits. This is a non-negotiable compliance requirement that must be built into the investor onboarding process. Legal counsel should manage ECA registration for each investor.</w:t>
      </w:r>
    </w:p>
    <w:p>
      <w:pPr>
        <w:pStyle w:val="Heading2"/>
        <w:spacing w:after="120" w:before="240"/>
      </w:pPr>
      <w:r>
        <w:rPr>
          <w:rFonts w:ascii="Georgia" w:cs="Georgia" w:eastAsia="Georgia" w:hAnsi="Georgia"/>
          <w:b/>
          <w:bCs/>
          <w:color w:val="1B5E20"/>
          <w:sz w:val="24"/>
          <w:szCs w:val="24"/>
        </w:rPr>
        <w:t xml:space="preserve">5.4 Anti-Money Laundering (AML) Compliance</w:t>
      </w:r>
    </w:p>
    <w:p>
      <w:pPr>
        <w:spacing w:after="160" w:line="276"/>
        <w:jc w:val="left"/>
      </w:pPr>
      <w:r>
        <w:rPr>
          <w:rFonts w:ascii="Arial" w:cs="Arial" w:eastAsia="Arial" w:hAnsi="Arial"/>
          <w:color w:val="333333"/>
          <w:sz w:val="21"/>
          <w:szCs w:val="21"/>
        </w:rPr>
        <w:t xml:space="preserve">The SPV and its legal advisors must comply with Barbados AML/CFT legislation, including the Money Laundering and Financing of Terrorism (Prevention and Control) Act. Customer due diligence (CDD) must be performed on all investors before share allotment. Enhanced due diligence (EDD) is required for politically exposed persons (PEPs), non-resident investors from high-risk jurisdictions, and any investment exceeding defined thresholds. The SPV's registered agent or company secretary should maintain CDD records for a minimum of five years after the relationship ends.</w:t>
      </w:r>
    </w:p>
    <w:p>
      <w:pPr>
        <w:pStyle w:val="Heading1"/>
        <w:spacing w:after="120" w:before="360"/>
      </w:pPr>
      <w:r>
        <w:rPr>
          <w:rFonts w:ascii="Georgia" w:cs="Georgia" w:eastAsia="Georgia" w:hAnsi="Georgia"/>
          <w:b/>
          <w:bCs/>
          <w:color w:val="1B5E20"/>
          <w:sz w:val="28"/>
          <w:szCs w:val="28"/>
        </w:rPr>
        <w:t xml:space="preserve">6. Recommendations and Next Steps</w:t>
      </w:r>
    </w:p>
    <w:p>
      <w:pPr>
        <w:spacing w:after="160" w:line="276"/>
        <w:jc w:val="left"/>
      </w:pPr>
      <w:r>
        <w:rPr>
          <w:rFonts w:ascii="Arial" w:cs="Arial" w:eastAsia="Arial" w:hAnsi="Arial"/>
          <w:color w:val="333333"/>
          <w:sz w:val="21"/>
          <w:szCs w:val="21"/>
        </w:rPr>
        <w:t xml:space="preserve">6.1. Incorporate the SPV (Mount Brevitor Development Ltd or equivalent) as a Barbados private limited company under Cap. 308. Complete CAIPO registration before the first capital raise or land acquisition closing.</w:t>
      </w:r>
    </w:p>
    <w:p>
      <w:pPr>
        <w:spacing w:after="160" w:line="276"/>
        <w:jc w:val="left"/>
      </w:pPr>
      <w:r>
        <w:rPr>
          <w:rFonts w:ascii="Arial" w:cs="Arial" w:eastAsia="Arial" w:hAnsi="Arial"/>
          <w:color w:val="333333"/>
          <w:sz w:val="21"/>
          <w:szCs w:val="21"/>
        </w:rPr>
        <w:t xml:space="preserve">6.2. Engage Barbados corporate counsel to draft the articles of incorporation, by-laws, and shareholders' agreement. The shareholders' agreement should define share classes, voting rights, distribution waterfall, reserved matters, anti-dilution protections, tag-along/drag-along rights, and exit mechanisms.</w:t>
      </w:r>
    </w:p>
    <w:p>
      <w:pPr>
        <w:spacing w:after="160" w:line="276"/>
        <w:jc w:val="left"/>
      </w:pPr>
      <w:r>
        <w:rPr>
          <w:rFonts w:ascii="Arial" w:cs="Arial" w:eastAsia="Arial" w:hAnsi="Arial"/>
          <w:color w:val="333333"/>
          <w:sz w:val="21"/>
          <w:szCs w:val="21"/>
        </w:rPr>
        <w:t xml:space="preserve">6.3. Establish the beneficial ownership register at the registered office. Identify all natural persons who will hold 25% or more of shares or voting rights and ensure disclosure within 14 days of incorporation.</w:t>
      </w:r>
    </w:p>
    <w:p>
      <w:pPr>
        <w:spacing w:after="160" w:line="276"/>
        <w:jc w:val="left"/>
      </w:pPr>
      <w:r>
        <w:rPr>
          <w:rFonts w:ascii="Arial" w:cs="Arial" w:eastAsia="Arial" w:hAnsi="Arial"/>
          <w:color w:val="333333"/>
          <w:sz w:val="21"/>
          <w:szCs w:val="21"/>
        </w:rPr>
        <w:t xml:space="preserve">6.4. Register all non-resident capital contributions with the Exchange Control Authority before or at the time of remittance. Obtain and retain the Certificate of Registration for each investor.</w:t>
      </w:r>
    </w:p>
    <w:p>
      <w:pPr>
        <w:spacing w:after="160" w:line="276"/>
        <w:jc w:val="left"/>
      </w:pPr>
      <w:r>
        <w:rPr>
          <w:rFonts w:ascii="Arial" w:cs="Arial" w:eastAsia="Arial" w:hAnsi="Arial"/>
          <w:color w:val="333333"/>
          <w:sz w:val="21"/>
          <w:szCs w:val="21"/>
        </w:rPr>
        <w:t xml:space="preserve">6.5. Instruct tax counsel to confirm the effective corporation tax rate for the SPV, model the impact of property transfer tax and stamp duty on gross margins, and advise on any available tourism development incentives for the X Range and hospitality components under the Tourism Development Act 2014.</w:t>
      </w:r>
    </w:p>
    <w:p>
      <w:pPr>
        <w:spacing w:after="160" w:line="276"/>
        <w:jc w:val="left"/>
      </w:pPr>
      <w:r>
        <w:rPr>
          <w:rFonts w:ascii="Arial" w:cs="Arial" w:eastAsia="Arial" w:hAnsi="Arial"/>
          <w:color w:val="333333"/>
          <w:sz w:val="21"/>
          <w:szCs w:val="21"/>
        </w:rPr>
        <w:t xml:space="preserve">6.6. Decide on the JV vs. passive investor structure before initiating the capital raise. If a JV is pursued, negotiate and execute a heads of terms before engaging legal counsel for the full JV agreement.</w:t>
      </w:r>
    </w:p>
    <w:p>
      <w:pPr>
        <w:spacing w:after="160" w:line="276"/>
        <w:jc w:val="left"/>
      </w:pPr>
      <w:r>
        <w:rPr>
          <w:rFonts w:ascii="Arial" w:cs="Arial" w:eastAsia="Arial" w:hAnsi="Arial"/>
          <w:color w:val="333333"/>
          <w:sz w:val="21"/>
          <w:szCs w:val="21"/>
        </w:rPr>
        <w:t xml:space="preserve">6.7. Budget BBD 200,000-400,000 (USD 100,000-200,000) for legal and advisory fees relating to SPV incorporation, shareholders' agreement, ECA registration, and tax structuring. This is a necessary cost of institutional-grade capital raising and should be included in the development budget as a pre-development expense.</w:t>
      </w:r>
    </w:p>
    <w:p>
      <w:pPr>
        <w:spacing w:before="400"/>
      </w:pPr>
    </w:p>
    <w:p>
      <w:pPr>
        <w:spacing w:after="40"/>
        <w:jc w:val="center"/>
      </w:pPr>
      <w:r>
        <w:rPr>
          <w:rFonts w:ascii="Arial" w:cs="Arial" w:eastAsia="Arial" w:hAnsi="Arial"/>
          <w:b/>
          <w:bCs/>
          <w:color w:val="999999"/>
          <w:sz w:val="18"/>
          <w:szCs w:val="18"/>
        </w:rPr>
        <w:t xml:space="preserve">END OF DOCUMENT</w:t>
      </w:r>
    </w:p>
    <w:p>
      <w:pPr>
        <w:jc w:val="center"/>
      </w:pPr>
      <w:r>
        <w:rPr>
          <w:rFonts w:ascii="Arial" w:cs="Arial" w:eastAsia="Arial" w:hAnsi="Arial"/>
          <w:color w:val="999999"/>
          <w:sz w:val="16"/>
          <w:szCs w:val="16"/>
        </w:rPr>
        <w:t xml:space="preserve">Mount Brevitor Estate Development  |  Legal Structure and Entity Note v2.0  |  Infinity Developers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Legal Structure and Entity Note  |  Infinity Developers Inc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1" w:space="4"/>
      </w:pBdr>
      <w:tabs>
        <w:tab w:val="right" w:pos="9026"/>
      </w:tabs>
    </w:pPr>
    <w:r>
      <w:rPr>
        <w:rFonts w:ascii="Georgia" w:cs="Georgia" w:eastAsia="Georgia" w:hAnsi="Georgia"/>
        <w:b/>
        <w:bCs/>
        <w:color w:val="2E7D32"/>
        <w:sz w:val="16"/>
        <w:szCs w:val="16"/>
      </w:rPr>
      <w:t xml:space="preserve">Mount Brevitor Estate  |  Legal Structure Note</w:t>
    </w:r>
    <w:r>
      <w:tab/>
    </w:r>
    <w:r>
      <w:rPr>
        <w:rFonts w:ascii="Arial" w:cs="Arial" w:eastAsia="Arial" w:hAnsi="Arial"/>
        <w:color w:val="B8860B"/>
        <w:sz w:val="16"/>
        <w:szCs w:val="16"/>
      </w:rPr>
      <w:t xml:space="preserve">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2026-03-05T09:20:18.942Z</dcterms:created>
  <dcterms:modified xsi:type="dcterms:W3CDTF">2026-03-05T09:20:18.942Z</dcterms:modified>
</cp:coreProperties>
</file>

<file path=docProps/custom.xml><?xml version="1.0" encoding="utf-8"?>
<Properties xmlns="http://schemas.openxmlformats.org/officeDocument/2006/custom-properties" xmlns:vt="http://schemas.openxmlformats.org/officeDocument/2006/docPropsVTypes"/>
</file>