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pPr>
    </w:p>
    <w:p>
      <w:pPr>
        <w:spacing w:after="100"/>
        <w:jc w:val="center"/>
      </w:pPr>
      <w:r>
        <w:rPr>
          <w:rFonts w:ascii="Georgia" w:cs="Georgia" w:eastAsia="Georgia" w:hAnsi="Georgia"/>
          <w:b/>
          <w:bCs/>
          <w:color w:val="1B5E20"/>
          <w:sz w:val="56"/>
          <w:szCs w:val="56"/>
        </w:rPr>
        <w:t xml:space="preserve">MOUNT BREVITOR</w:t>
      </w:r>
    </w:p>
    <w:p>
      <w:pPr>
        <w:spacing w:after="200"/>
        <w:jc w:val="center"/>
      </w:pPr>
      <w:r>
        <w:rPr>
          <w:rFonts w:ascii="Georgia" w:cs="Georgia" w:eastAsia="Georgia" w:hAnsi="Georgia"/>
          <w:color w:val="2E7D32"/>
          <w:sz w:val="44"/>
          <w:szCs w:val="44"/>
        </w:rPr>
        <w:t xml:space="preserve">ESTATE DEVELOPMENT</w:t>
      </w:r>
    </w:p>
    <w:p>
      <w:pPr>
        <w:pBdr>
          <w:top w:val="single" w:color="B8860B" w:sz="6" w:space="8"/>
          <w:bottom w:val="single" w:color="B8860B" w:sz="6" w:space="8"/>
        </w:pBdr>
        <w:spacing w:after="80"/>
        <w:jc w:val="center"/>
      </w:pPr>
      <w:r>
        <w:rPr>
          <w:rFonts w:ascii="Georgia" w:cs="Georgia" w:eastAsia="Georgia" w:hAnsi="Georgia"/>
          <w:color w:val="B8860B"/>
          <w:sz w:val="28"/>
          <w:szCs w:val="28"/>
        </w:rPr>
        <w:t xml:space="preserve">Brand Positioning and Development Vision</w:t>
      </w:r>
    </w:p>
    <w:p>
      <w:pPr>
        <w:spacing w:after="400"/>
      </w:pPr>
    </w:p>
    <w:p>
      <w:pPr>
        <w:spacing w:after="60"/>
        <w:jc w:val="center"/>
      </w:pPr>
      <w:r>
        <w:rPr>
          <w:rFonts w:ascii="Arial" w:cs="Arial" w:eastAsia="Arial" w:hAnsi="Arial"/>
          <w:color w:val="666666"/>
          <w:sz w:val="22"/>
          <w:szCs w:val="22"/>
        </w:rPr>
        <w:t xml:space="preserve">Northern Barbados  |  120 Acres  |  Mixed-Use Estate</w:t>
      </w:r>
    </w:p>
    <w:p>
      <w:pPr>
        <w:spacing w:after="60"/>
        <w:jc w:val="center"/>
      </w:pPr>
      <w:r>
        <w:rPr>
          <w:rFonts w:ascii="Arial" w:cs="Arial" w:eastAsia="Arial" w:hAnsi="Arial"/>
          <w:color w:val="666666"/>
          <w:sz w:val="20"/>
          <w:szCs w:val="20"/>
        </w:rPr>
        <w:t xml:space="preserve">Workstream A  |  Document v2.0  |  March 2025  |  CONFIDENTIAL</w:t>
      </w:r>
    </w:p>
    <w:p>
      <w:pPr>
        <w:spacing w:after="60"/>
        <w:jc w:val="center"/>
      </w:pPr>
      <w:r>
        <w:rPr>
          <w:rFonts w:ascii="Arial" w:cs="Arial" w:eastAsia="Arial" w:hAnsi="Arial"/>
          <w:color w:val="666666"/>
          <w:sz w:val="20"/>
          <w:szCs w:val="20"/>
        </w:rPr>
        <w:t xml:space="preserve">Prepared by: Strategic Advisory Workstream</w:t>
      </w:r>
    </w:p>
    <w:p>
      <w:pPr>
        <w:jc w:val="center"/>
      </w:pPr>
      <w:r>
        <w:rPr>
          <w:rFonts w:ascii="Arial" w:cs="Arial" w:eastAsia="Arial" w:hAnsi="Arial"/>
          <w:color w:val="666666"/>
          <w:sz w:val="20"/>
          <w:szCs w:val="20"/>
        </w:rPr>
        <w:t xml:space="preserve">Developer: Infinity Developers Inc (Ltd, Barbados)</w:t>
      </w:r>
    </w:p>
    <w:p>
      <w:r>
        <w:br w:type="page"/>
      </w:r>
    </w:p>
    <w:p>
      <w:pPr>
        <w:pStyle w:val="Heading1"/>
      </w:pPr>
      <w:r>
        <w:t xml:space="preserve">1. Vision Narrative</w:t>
      </w:r>
    </w:p>
    <w:p>
      <w:pPr>
        <w:spacing w:after="200"/>
      </w:pPr>
      <w:r>
        <w:rPr>
          <w:sz w:val="22"/>
          <w:szCs w:val="22"/>
        </w:rPr>
        <w:t xml:space="preserve">Mount Brevitor is a 120-acre integrated estate in northern Barbados. It is designed to function as a self-sustaining community, not a housing subdivision. The estate combines residential living for approximately 355 households with a working agri-estate, entertainment golf, hybrid green energy infrastructure, and on-site community services including medical care, retail, and recreational facilities.</w:t>
      </w:r>
    </w:p>
    <w:p>
      <w:pPr>
        <w:spacing w:after="200"/>
      </w:pPr>
      <w:r>
        <w:rPr>
          <w:sz w:val="22"/>
          <w:szCs w:val="22"/>
        </w:rPr>
        <w:t xml:space="preserve">The development addresses a structural housing deficit of over 10,000 units in Barbados. It targets the largest underserved segment: middle-income and mid-luxury buyers in the BBD 440,000 to BBD 1,430,000 range (USD 220,000 to USD 715,000). Entry products are accessible through the developer's 95% mortgage product at 4.5% fixed, requiring a deposit of just BBD 22,000 (USD 11,000) for the smallest unit.</w:t>
      </w:r>
    </w:p>
    <w:p>
      <w:pPr>
        <w:spacing w:after="200"/>
      </w:pPr>
      <w:r>
        <w:rPr>
          <w:sz w:val="22"/>
          <w:szCs w:val="22"/>
        </w:rPr>
        <w:t xml:space="preserve">The estate is positioned in northern Barbados, a corridor experiencing approximately 10% annual price growth, ahead of the island-wide average of 3-5%. Speightstown revitalisation, improved road infrastructure, and relative affordability compared to the south and west coasts are driving residential demand northward. Mount Brevitor is designed to capture this shift by delivering a product and lifestyle that does not exist anywhere else on the island.</w:t>
      </w:r>
    </w:p>
    <w:p>
      <w:pPr>
        <w:spacing w:after="200"/>
      </w:pPr>
      <w:r>
        <w:rPr>
          <w:sz w:val="22"/>
          <w:szCs w:val="22"/>
        </w:rPr>
        <w:t xml:space="preserve">The vision is direct: a place where people live in well-built homes, eat food grown on the land around them, play golf and socialise within walking distance, and do so in a community powered by clean energy and managed as a cohesive estate. This is not an aspiration. It is the development programme.</w:t>
      </w:r>
    </w:p>
    <w:p>
      <w:pPr>
        <w:pStyle w:val="Heading1"/>
      </w:pPr>
      <w:r>
        <w:t xml:space="preserve">2. Brand Pillars</w:t>
      </w:r>
    </w:p>
    <w:p>
      <w:pPr>
        <w:spacing w:after="200"/>
      </w:pPr>
      <w:r>
        <w:rPr>
          <w:sz w:val="22"/>
          <w:szCs w:val="22"/>
        </w:rPr>
        <w:t xml:space="preserve">The Mount Brevitor brand is built on five pillars. Each pillar corresponds to a tangible element of the estate that can be evidenced, marketed, and experienced by residents, visitors, and investors.</w:t>
      </w:r>
    </w:p>
    <w:p>
      <w:pPr>
        <w:pStyle w:val="Heading2"/>
      </w:pPr>
      <w:r>
        <w:t xml:space="preserve">2.1 Community</w:t>
      </w:r>
    </w:p>
    <w:p>
      <w:pPr>
        <w:spacing w:after="200"/>
      </w:pPr>
      <w:r>
        <w:rPr>
          <w:sz w:val="22"/>
          <w:szCs w:val="22"/>
        </w:rPr>
        <w:t xml:space="preserve">Mount Brevitor is a neighbourhood, not a collection of houses. The medical centre, supermarket, pickleball courts, pool, and community hall are not optional amenities; they are core infrastructure planned from Phase 1. The development is designed so that a resident can meet daily needs without leaving the estate. This pillar differentiates Mount Brevitor from every mid-market Barbados competitor, none of which offer this breadth of community services within the development boundary.</w:t>
      </w:r>
    </w:p>
    <w:p>
      <w:pPr>
        <w:pStyle w:val="Heading2"/>
      </w:pPr>
      <w:r>
        <w:t xml:space="preserve">2.2 Sustainability</w:t>
      </w:r>
    </w:p>
    <w:p>
      <w:pPr>
        <w:spacing w:after="200"/>
      </w:pPr>
      <w:r>
        <w:rPr>
          <w:sz w:val="22"/>
          <w:szCs w:val="22"/>
        </w:rPr>
        <w:t xml:space="preserve">The estate targets EDGE Advanced or LEED Silver certification. Green infrastructure includes a hybrid solar-battery energy system with agrivoltaic panels over agricultural land, an on-site water treatment plant, aquaponics water recycling, and building fabric designed for tropical energy efficiency. This is not a marketing label. It is an engineering commitment embedded in the site plan and capital budget. The sustainability pillar supports premium pricing, attracts international buyers with ESG sensitivity, and positions the development for favourable planning treatment.</w:t>
      </w:r>
    </w:p>
    <w:p>
      <w:pPr>
        <w:pStyle w:val="Heading2"/>
      </w:pPr>
      <w:r>
        <w:t xml:space="preserve">2.3 Lifestyle</w:t>
      </w:r>
    </w:p>
    <w:p>
      <w:pPr>
        <w:spacing w:after="200"/>
      </w:pPr>
      <w:r>
        <w:rPr>
          <w:sz w:val="22"/>
          <w:szCs w:val="22"/>
        </w:rPr>
        <w:t xml:space="preserve">X Range branded golf entertainment provides a social and recreational anchor for the estate. The facility includes a driving range, bar, and restaurant, designed as a casual lifestyle venue rather than an exclusive members' club. Pickleball courts, a pool, gym, and landscaped trails round out the recreational offer. The lifestyle pillar serves a dual purpose: it makes the estate attractive to residents and visitors, and it generates non-residential revenue that reduces dependency on unit sales.</w:t>
      </w:r>
    </w:p>
    <w:p>
      <w:pPr>
        <w:pStyle w:val="Heading2"/>
      </w:pPr>
      <w:r>
        <w:t xml:space="preserve">2.4 Authenticity</w:t>
      </w:r>
    </w:p>
    <w:p>
      <w:pPr>
        <w:spacing w:after="200"/>
      </w:pPr>
      <w:r>
        <w:rPr>
          <w:sz w:val="22"/>
          <w:szCs w:val="22"/>
        </w:rPr>
        <w:t xml:space="preserve">The working farm is not a decorative feature. It is a 17-acre agri-estate producing food for the community: aquaponics, containerised vegetables, dairy cattle, and cheese production. The recommended operating model (Model C: Estate Supply with selective agri-tourism) scored 4.05 out of 5.0 in Phase 1 analysis. The farm creates a tangible, visible identity for the estate that no competitor can replicate. Residents and visitors interact with food production daily, through the farm shop, the X Range restaurant supply chain, and potential agri-tourism experiences.</w:t>
      </w:r>
    </w:p>
    <w:p>
      <w:pPr>
        <w:pStyle w:val="Heading2"/>
      </w:pPr>
      <w:r>
        <w:t xml:space="preserve">2.5 Innovation</w:t>
      </w:r>
    </w:p>
    <w:p>
      <w:pPr>
        <w:spacing w:after="200"/>
      </w:pPr>
      <w:r>
        <w:rPr>
          <w:sz w:val="22"/>
          <w:szCs w:val="22"/>
        </w:rPr>
        <w:t xml:space="preserve">The 95% LTV mortgage product at 4.5% fixed rate, structured through banking partnerships, represents a financing innovation that materially expands the addressable buyer pool. A deposit of BBD 22,000 (USD 11,000) for the entry product removes the primary barrier to first-time home ownership in Barbados. Combined with the green energy system, on-site water treatment, and agrivoltaic design, Mount Brevitor positions itself as a forward-looking development that applies new approaches to housing, energy, and agriculture in the Caribbean context.</w:t>
      </w:r>
    </w:p>
    <w:p>
      <w:pPr>
        <w:shd w:fill="FFF8E1" w:val="clear"/>
        <w:spacing w:after="200"/>
      </w:pPr>
      <w:r>
        <w:rPr>
          <w:b/>
          <w:bCs/>
          <w:color w:val="B8860B"/>
          <w:sz w:val="22"/>
          <w:szCs w:val="22"/>
        </w:rPr>
        <w:t xml:space="preserve">FLAG: </w:t>
      </w:r>
      <w:r>
        <w:rPr>
          <w:sz w:val="22"/>
          <w:szCs w:val="22"/>
        </w:rPr>
        <w:t xml:space="preserve">The Innovation pillar depends on the 95% mortgage product being operational at launch and the construction cost savings being deliverable. Neither is independently verified. If these do not materialise, the Innovation pillar should be repositioned around the green energy and water infrastructure rather than financing.</w:t>
      </w:r>
    </w:p>
    <w:p>
      <w:r>
        <w:br w:type="page"/>
      </w:r>
    </w:p>
    <w:p>
      <w:pPr>
        <w:pStyle w:val="Heading1"/>
      </w:pPr>
      <w:r>
        <w:t xml:space="preserve">3. Target Audience Profiles</w:t>
      </w:r>
    </w:p>
    <w:p>
      <w:pPr>
        <w:pStyle w:val="Heading2"/>
      </w:pPr>
      <w:r>
        <w:t xml:space="preserve">3.1 Local Barbadian (55-65% of sales)</w:t>
      </w:r>
    </w:p>
    <w:p>
      <w:pPr>
        <w:spacing w:after="120"/>
      </w:pPr>
      <w:r>
        <w:rPr>
          <w:b/>
          <w:bCs/>
          <w:sz w:val="22"/>
          <w:szCs w:val="22"/>
        </w:rPr>
        <w:t xml:space="preserve">Profile: </w:t>
      </w:r>
      <w:r>
        <w:rPr>
          <w:sz w:val="22"/>
          <w:szCs w:val="22"/>
        </w:rPr>
        <w:t xml:space="preserve">Middle-income families and first-time buyers. Employed in tourism, government, financial services, and retail. Household income BBD 60,000 to BBD 150,000 per year. Ages 28 to 50. Many are renting or living with family and seeking their first owned home.</w:t>
      </w:r>
    </w:p>
    <w:p>
      <w:pPr>
        <w:spacing w:after="120"/>
      </w:pPr>
      <w:r>
        <w:rPr>
          <w:b/>
          <w:bCs/>
          <w:sz w:val="22"/>
          <w:szCs w:val="22"/>
        </w:rPr>
        <w:t xml:space="preserve">Product fit: </w:t>
      </w:r>
      <w:r>
        <w:rPr>
          <w:sz w:val="22"/>
          <w:szCs w:val="22"/>
        </w:rPr>
        <w:t xml:space="preserve">1-bed condos (BBD 440,000) and 2-3 bed townhouses (BBD 560,000 to BBD 623,700). Entry and mid-range product.</w:t>
      </w:r>
    </w:p>
    <w:p>
      <w:pPr>
        <w:spacing w:after="120"/>
      </w:pPr>
      <w:r>
        <w:rPr>
          <w:b/>
          <w:bCs/>
          <w:sz w:val="22"/>
          <w:szCs w:val="22"/>
        </w:rPr>
        <w:t xml:space="preserve">Purchase drivers: </w:t>
      </w:r>
      <w:r>
        <w:rPr>
          <w:sz w:val="22"/>
          <w:szCs w:val="22"/>
        </w:rPr>
        <w:t xml:space="preserve">Affordable deposit via 95% financing. On-site amenities (medical, supermarket) reduce cost of living. Northern location offers value versus south/west coast. Community environment for family raising.</w:t>
      </w:r>
    </w:p>
    <w:p>
      <w:pPr>
        <w:spacing w:after="200"/>
      </w:pPr>
      <w:r>
        <w:rPr>
          <w:b/>
          <w:bCs/>
          <w:sz w:val="22"/>
          <w:szCs w:val="22"/>
        </w:rPr>
        <w:t xml:space="preserve">Barriers: </w:t>
      </w:r>
      <w:r>
        <w:rPr>
          <w:sz w:val="22"/>
          <w:szCs w:val="22"/>
        </w:rPr>
        <w:t xml:space="preserve">Mortgage qualification. Confidence in developer delivery. Distance from Bridgetown employment centres. Competing product at Coverley and Vuemont.</w:t>
      </w:r>
    </w:p>
    <w:p>
      <w:pPr>
        <w:pStyle w:val="Heading2"/>
      </w:pPr>
      <w:r>
        <w:t xml:space="preserve">3.2 Barbadian Diaspora (15-20% of sales)</w:t>
      </w:r>
    </w:p>
    <w:p>
      <w:pPr>
        <w:spacing w:after="120"/>
      </w:pPr>
      <w:r>
        <w:rPr>
          <w:b/>
          <w:bCs/>
          <w:sz w:val="22"/>
          <w:szCs w:val="22"/>
        </w:rPr>
        <w:t xml:space="preserve">Profile: </w:t>
      </w:r>
      <w:r>
        <w:rPr>
          <w:sz w:val="22"/>
          <w:szCs w:val="22"/>
        </w:rPr>
        <w:t xml:space="preserve">UK and North American Barbadians. Earning in GBP or USD. Seeking return property, retirement home, or rental investment. Ages 40 to 65. Strong emotional connection to Barbados. Often have family on-island who can monitor the property.</w:t>
      </w:r>
    </w:p>
    <w:p>
      <w:pPr>
        <w:spacing w:after="120"/>
      </w:pPr>
      <w:r>
        <w:rPr>
          <w:b/>
          <w:bCs/>
          <w:sz w:val="22"/>
          <w:szCs w:val="22"/>
        </w:rPr>
        <w:t xml:space="preserve">Product fit: </w:t>
      </w:r>
      <w:r>
        <w:rPr>
          <w:sz w:val="22"/>
          <w:szCs w:val="22"/>
        </w:rPr>
        <w:t xml:space="preserve">2-4 bed townhouses and bungalows (BBD 560,000 to BBD 880,000). Mid-range to upper product.</w:t>
      </w:r>
    </w:p>
    <w:p>
      <w:pPr>
        <w:spacing w:after="120"/>
      </w:pPr>
      <w:r>
        <w:rPr>
          <w:b/>
          <w:bCs/>
          <w:sz w:val="22"/>
          <w:szCs w:val="22"/>
        </w:rPr>
        <w:t xml:space="preserve">Purchase drivers: </w:t>
      </w:r>
      <w:r>
        <w:rPr>
          <w:sz w:val="22"/>
          <w:szCs w:val="22"/>
        </w:rPr>
        <w:t xml:space="preserve">Favourable exchange rate (GBP/USD to BBD). Estate lifestyle (farm, golf, community) aligns with retirement vision. On-site services reduce management burden for absentee owners. Northern location offers better value than west coast luxury.</w:t>
      </w:r>
    </w:p>
    <w:p>
      <w:pPr>
        <w:spacing w:after="200"/>
      </w:pPr>
      <w:r>
        <w:rPr>
          <w:b/>
          <w:bCs/>
          <w:sz w:val="22"/>
          <w:szCs w:val="22"/>
        </w:rPr>
        <w:t xml:space="preserve">Barriers: </w:t>
      </w:r>
      <w:r>
        <w:rPr>
          <w:sz w:val="22"/>
          <w:szCs w:val="22"/>
        </w:rPr>
        <w:t xml:space="preserve">Distance from island. Trust in off-plan purchase. Uncertainty about rental yield if not residing. Currency transfer logistics.</w:t>
      </w:r>
    </w:p>
    <w:p>
      <w:pPr>
        <w:pStyle w:val="Heading2"/>
      </w:pPr>
      <w:r>
        <w:t xml:space="preserve">3.3 International / Remote Worker (10-15% of sales)</w:t>
      </w:r>
    </w:p>
    <w:p>
      <w:pPr>
        <w:spacing w:after="120"/>
      </w:pPr>
      <w:r>
        <w:rPr>
          <w:b/>
          <w:bCs/>
          <w:sz w:val="22"/>
          <w:szCs w:val="22"/>
        </w:rPr>
        <w:t xml:space="preserve">Profile: </w:t>
      </w:r>
      <w:r>
        <w:rPr>
          <w:sz w:val="22"/>
          <w:szCs w:val="22"/>
        </w:rPr>
        <w:t xml:space="preserve">Digital nomads, Welcome Stamp visa holders, early retirees from UK, US, and Canada. Lifestyle-motivated. Income from remote employment or investment returns. Ages 35 to 60. Seeking tropical base with reliable infrastructure and community.</w:t>
      </w:r>
    </w:p>
    <w:p>
      <w:pPr>
        <w:spacing w:after="120"/>
      </w:pPr>
      <w:r>
        <w:rPr>
          <w:b/>
          <w:bCs/>
          <w:sz w:val="22"/>
          <w:szCs w:val="22"/>
        </w:rPr>
        <w:t xml:space="preserve">Product fit: </w:t>
      </w:r>
      <w:r>
        <w:rPr>
          <w:sz w:val="22"/>
          <w:szCs w:val="22"/>
        </w:rPr>
        <w:t xml:space="preserve">3-5 bed homes (BBD 623,700 to BBD 1,430,000). Upper product with space for home office and entertaining.</w:t>
      </w:r>
    </w:p>
    <w:p>
      <w:pPr>
        <w:spacing w:after="120"/>
      </w:pPr>
      <w:r>
        <w:rPr>
          <w:b/>
          <w:bCs/>
          <w:sz w:val="22"/>
          <w:szCs w:val="22"/>
        </w:rPr>
        <w:t xml:space="preserve">Purchase drivers: </w:t>
      </w:r>
      <w:r>
        <w:rPr>
          <w:sz w:val="22"/>
          <w:szCs w:val="22"/>
        </w:rPr>
        <w:t xml:space="preserve">Complete community (no need to drive off-estate for daily needs). Green certification appeals to ESG-conscious buyers. Farm and golf lifestyle is marketing differentiator. Barbados tax regime and Welcome Stamp programme are favourable.</w:t>
      </w:r>
    </w:p>
    <w:p>
      <w:pPr>
        <w:spacing w:after="200"/>
      </w:pPr>
      <w:r>
        <w:rPr>
          <w:b/>
          <w:bCs/>
          <w:sz w:val="22"/>
          <w:szCs w:val="22"/>
        </w:rPr>
        <w:t xml:space="preserve">Barriers: </w:t>
      </w:r>
      <w:r>
        <w:rPr>
          <w:sz w:val="22"/>
          <w:szCs w:val="22"/>
        </w:rPr>
        <w:t xml:space="preserve">Upper-tier pricing is unvalidated for northern Barbados. Competition from established luxury offerings (Apes Hill, west coast villas). Unfamiliarity with northern Barbados as a residential destination.</w:t>
      </w:r>
    </w:p>
    <w:p>
      <w:pPr>
        <w:pStyle w:val="Heading2"/>
      </w:pPr>
      <w:r>
        <w:t xml:space="preserve">3.4 Regional Investor (5-10% of sales)</w:t>
      </w:r>
    </w:p>
    <w:p>
      <w:pPr>
        <w:spacing w:after="120"/>
      </w:pPr>
      <w:r>
        <w:rPr>
          <w:b/>
          <w:bCs/>
          <w:sz w:val="22"/>
          <w:szCs w:val="22"/>
        </w:rPr>
        <w:t xml:space="preserve">Profile: </w:t>
      </w:r>
      <w:r>
        <w:rPr>
          <w:sz w:val="22"/>
          <w:szCs w:val="22"/>
        </w:rPr>
        <w:t xml:space="preserve">Caribbean-based investors (Trinidad, Jamaica, Eastern Caribbean) seeking Barbados real estate exposure. Return-driven. Looking for rental yield or capital appreciation. May not reside on-island.</w:t>
      </w:r>
    </w:p>
    <w:p>
      <w:pPr>
        <w:spacing w:after="120"/>
      </w:pPr>
      <w:r>
        <w:rPr>
          <w:b/>
          <w:bCs/>
          <w:sz w:val="22"/>
          <w:szCs w:val="22"/>
        </w:rPr>
        <w:t xml:space="preserve">Product fit: </w:t>
      </w:r>
      <w:r>
        <w:rPr>
          <w:sz w:val="22"/>
          <w:szCs w:val="22"/>
        </w:rPr>
        <w:t xml:space="preserve">1-2 bed condos and smaller units (BBD 440,000 to BBD 560,000). Compact product with best rental yield potential.</w:t>
      </w:r>
    </w:p>
    <w:p>
      <w:pPr>
        <w:spacing w:after="120"/>
      </w:pPr>
      <w:r>
        <w:rPr>
          <w:b/>
          <w:bCs/>
          <w:sz w:val="22"/>
          <w:szCs w:val="22"/>
        </w:rPr>
        <w:t xml:space="preserve">Purchase drivers: </w:t>
      </w:r>
      <w:r>
        <w:rPr>
          <w:sz w:val="22"/>
          <w:szCs w:val="22"/>
        </w:rPr>
        <w:t xml:space="preserve">Barbados political stability and regulatory quality. Fixed BBD-USD peg reduces currency risk. Estate management and community services reduce landlord burden. Proximity to tourism infrastructure supports short-term rental demand.</w:t>
      </w:r>
    </w:p>
    <w:p>
      <w:pPr>
        <w:spacing w:after="200"/>
      </w:pPr>
      <w:r>
        <w:rPr>
          <w:b/>
          <w:bCs/>
          <w:sz w:val="22"/>
          <w:szCs w:val="22"/>
        </w:rPr>
        <w:t xml:space="preserve">Barriers: </w:t>
      </w:r>
      <w:r>
        <w:rPr>
          <w:sz w:val="22"/>
          <w:szCs w:val="22"/>
        </w:rPr>
        <w:t xml:space="preserve">Cross-border transaction complexity. Withholding tax on rental income. Competition from Bridgetown and south coast rental markets with established rental track record.</w:t>
      </w:r>
    </w:p>
    <w:p>
      <w:r>
        <w:br w:type="page"/>
      </w:r>
    </w:p>
    <w:p>
      <w:pPr>
        <w:pStyle w:val="Heading1"/>
      </w:pPr>
      <w:r>
        <w:t xml:space="preserve">4. Competitive Differentiation Matrix</w:t>
      </w:r>
    </w:p>
    <w:p>
      <w:pPr>
        <w:spacing w:after="200"/>
      </w:pPr>
      <w:r>
        <w:rPr>
          <w:sz w:val="22"/>
          <w:szCs w:val="22"/>
        </w:rPr>
        <w:t xml:space="preserve">The following table compares Mount Brevitor's features against the four primary competitors identified in Phase 1 benchmarking. Mount Brevitor is the only development in the Barbados market that combines residential delivery with a working farm, branded golf entertainment, green energy infrastructure, and comprehensive community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400"/>
        <w:gridCol w:w="1300"/>
        <w:gridCol w:w="1200"/>
        <w:gridCol w:w="1960"/>
      </w:tblGrid>
      <w:tr>
        <w:tc>
          <w:tcPr>
            <w:tcW w:type="dxa" w:w="17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Mount Brevitor</w:t>
            </w:r>
          </w:p>
        </w:tc>
        <w:tc>
          <w:tcPr>
            <w:tcW w:type="dxa" w:w="1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Coverley</w:t>
            </w:r>
          </w:p>
        </w:tc>
        <w:tc>
          <w:tcPr>
            <w:tcW w:type="dxa" w:w="13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Vuemont</w:t>
            </w:r>
          </w:p>
        </w:tc>
        <w:tc>
          <w:tcPr>
            <w:tcW w:type="dxa" w:w="1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Harmony</w:t>
            </w:r>
          </w:p>
        </w:tc>
        <w:tc>
          <w:tcPr>
            <w:tcW w:type="dxa" w:w="19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Apes Hill</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Price Range (USD)</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220K-715K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303K-429K</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275K-355K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150K base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500K+</w:t>
            </w:r>
          </w:p>
        </w:tc>
      </w:tr>
      <w:tr>
        <w:tc>
          <w:tcPr>
            <w:tcW w:type="dxa" w:w="17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20"/>
                <w:szCs w:val="20"/>
              </w:rPr>
              <w:t xml:space="preserve">Working Farm</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Yes</w:t>
            </w:r>
          </w:p>
        </w:tc>
        <w:tc>
          <w:tcPr>
            <w:tcW w:type="dxa" w:w="14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3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96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Farm-to-table dining</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Golf Entertainment</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X Range (branded)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18-hole course</w:t>
            </w:r>
          </w:p>
        </w:tc>
      </w:tr>
      <w:tr>
        <w:tc>
          <w:tcPr>
            <w:tcW w:type="dxa" w:w="17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20"/>
                <w:szCs w:val="20"/>
              </w:rPr>
              <w:t xml:space="preserve">Green Energy</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Hybrid solar/battery</w:t>
            </w:r>
          </w:p>
        </w:tc>
        <w:tc>
          <w:tcPr>
            <w:tcW w:type="dxa" w:w="14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3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96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Limited</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Water Treatment</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On-site plant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Municipal</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Municipal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Municipal</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On-site</w:t>
            </w:r>
          </w:p>
        </w:tc>
      </w:tr>
      <w:tr>
        <w:tc>
          <w:tcPr>
            <w:tcW w:type="dxa" w:w="17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20"/>
                <w:szCs w:val="20"/>
              </w:rPr>
              <w:t xml:space="preserve">Medical Centre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Yes</w:t>
            </w:r>
          </w:p>
        </w:tc>
        <w:tc>
          <w:tcPr>
            <w:tcW w:type="dxa" w:w="14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3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96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Supermarket</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Yes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Town centre shops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r>
      <w:tr>
        <w:tc>
          <w:tcPr>
            <w:tcW w:type="dxa" w:w="17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20"/>
                <w:szCs w:val="20"/>
              </w:rPr>
              <w:t xml:space="preserve">Community Facilities</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Pickleball, pool, gym</w:t>
            </w:r>
          </w:p>
        </w:tc>
        <w:tc>
          <w:tcPr>
            <w:tcW w:type="dxa" w:w="14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Parks, playground</w:t>
            </w:r>
          </w:p>
        </w:tc>
        <w:tc>
          <w:tcPr>
            <w:tcW w:type="dxa" w:w="13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Pool, gym, trails</w:t>
            </w:r>
          </w:p>
        </w:tc>
        <w:tc>
          <w:tcPr>
            <w:tcW w:type="dxa" w:w="1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Basic amenities</w:t>
            </w:r>
          </w:p>
        </w:tc>
        <w:tc>
          <w:tcPr>
            <w:tcW w:type="dxa" w:w="196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Polo, spa, beach club</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95% Financing</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Yes (4.5% fixed)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100% (unverified)</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r>
      <w:tr>
        <w:tc>
          <w:tcPr>
            <w:tcW w:type="dxa" w:w="17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20"/>
                <w:szCs w:val="20"/>
              </w:rPr>
              <w:t xml:space="preserve">Target Market</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Middle to upper-mid</w:t>
            </w:r>
          </w:p>
        </w:tc>
        <w:tc>
          <w:tcPr>
            <w:tcW w:type="dxa" w:w="14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Mid-market</w:t>
            </w:r>
          </w:p>
        </w:tc>
        <w:tc>
          <w:tcPr>
            <w:tcW w:type="dxa" w:w="13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Mid-market</w:t>
            </w:r>
          </w:p>
        </w:tc>
        <w:tc>
          <w:tcPr>
            <w:tcW w:type="dxa" w:w="1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Affordable</w:t>
            </w:r>
          </w:p>
        </w:tc>
        <w:tc>
          <w:tcPr>
            <w:tcW w:type="dxa" w:w="196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Luxury</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Green Certification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EDGE/LEED target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None stated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None stated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None stated</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None stated</w:t>
            </w:r>
          </w:p>
        </w:tc>
      </w:tr>
      <w:tr>
        <w:tc>
          <w:tcPr>
            <w:tcW w:type="dxa" w:w="17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20"/>
                <w:szCs w:val="20"/>
              </w:rPr>
              <w:t xml:space="preserve">Unit Count</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color w:val="1B5E20"/>
                <w:sz w:val="20"/>
                <w:szCs w:val="20"/>
              </w:rPr>
              <w:t xml:space="preserve">355 (4 phases)</w:t>
            </w:r>
          </w:p>
        </w:tc>
        <w:tc>
          <w:tcPr>
            <w:tcW w:type="dxa" w:w="14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1,000+ planned</w:t>
            </w:r>
          </w:p>
        </w:tc>
        <w:tc>
          <w:tcPr>
            <w:tcW w:type="dxa" w:w="13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Multi-phase</w:t>
            </w:r>
          </w:p>
        </w:tc>
        <w:tc>
          <w:tcPr>
            <w:tcW w:type="dxa" w:w="1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96 (Phase 1)</w:t>
            </w:r>
          </w:p>
        </w:tc>
        <w:tc>
          <w:tcPr>
            <w:tcW w:type="dxa" w:w="196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val="false"/>
                <w:bCs w:val="false"/>
                <w:color w:val="333333"/>
                <w:sz w:val="20"/>
                <w:szCs w:val="20"/>
              </w:rPr>
              <w:t xml:space="preserve">Large estate</w:t>
            </w:r>
          </w:p>
        </w:tc>
      </w:tr>
    </w:tbl>
    <w:p>
      <w:pPr>
        <w:spacing w:after="200" w:before="200"/>
      </w:pPr>
      <w:r>
        <w:rPr>
          <w:i/>
          <w:iCs/>
          <w:color w:val="666666"/>
          <w:sz w:val="20"/>
          <w:szCs w:val="20"/>
        </w:rPr>
        <w:t xml:space="preserve">Source: Phase 1 Competitive Benchmarking (MBE_A4_CompetitiveBenchmarking_v1.0). Pricing verified against developer websites and Terra Caribbean listings, March 2025.</w:t>
      </w:r>
    </w:p>
    <w:p>
      <w:pPr>
        <w:pStyle w:val="Heading1"/>
      </w:pPr>
      <w:r>
        <w:t xml:space="preserve">5. Naming and Identity Direction</w:t>
      </w:r>
    </w:p>
    <w:p>
      <w:pPr>
        <w:pStyle w:val="Heading2"/>
      </w:pPr>
      <w:r>
        <w:t xml:space="preserve">5.1 Estate Name</w:t>
      </w:r>
    </w:p>
    <w:p>
      <w:pPr>
        <w:spacing w:after="200"/>
      </w:pPr>
      <w:r>
        <w:rPr>
          <w:sz w:val="22"/>
          <w:szCs w:val="22"/>
        </w:rPr>
        <w:t xml:space="preserve">"Mount Brevitor" is the confirmed estate name. It references the site's topography and carries a sense of elevation, permanence, and distinction. The name should be used in full in formal communications ("Mount Brevitor Estate Development") and abbreviated to "Mount Brevitor" in marketing materials and conversational contexts. Avoid "MBE" in buyer-facing materials; it should be reserved for internal file referencing.</w:t>
      </w:r>
    </w:p>
    <w:p>
      <w:pPr>
        <w:pStyle w:val="Heading2"/>
      </w:pPr>
      <w:r>
        <w:t xml:space="preserve">5.2 Tone of Voice</w:t>
      </w:r>
    </w:p>
    <w:p>
      <w:pPr>
        <w:spacing w:after="120"/>
      </w:pPr>
      <w:r>
        <w:rPr>
          <w:sz w:val="22"/>
          <w:szCs w:val="22"/>
        </w:rPr>
        <w:t xml:space="preserve">Confident, grounded, and specific. The tone should reflect a development that knows what it is and does not need to oversell. Statements should be factual and evidence-based. The estate's unique features (farm, golf, green energy, community services) are strong enough to carry the narrative without superlatives.</w:t>
      </w:r>
    </w:p>
    <w:p>
      <w:pPr>
        <w:pStyle w:val="ListParagraph"/>
        <w:numPr>
          <w:ilvl w:val="0"/>
          <w:numId w:val="2"/>
        </w:numPr>
        <w:spacing w:after="200"/>
      </w:pPr>
      <w:r>
        <w:rPr>
          <w:b/>
          <w:bCs/>
          <w:sz w:val="22"/>
          <w:szCs w:val="22"/>
        </w:rPr>
        <w:t xml:space="preserve">Use: </w:t>
      </w:r>
      <w:r>
        <w:rPr>
          <w:sz w:val="22"/>
          <w:szCs w:val="22"/>
        </w:rPr>
        <w:t xml:space="preserve">"A community that grows its own food, generates its own energy, and puts everything you need within walking distance."</w:t>
      </w:r>
    </w:p>
    <w:p>
      <w:pPr>
        <w:pStyle w:val="ListParagraph"/>
        <w:numPr>
          <w:ilvl w:val="0"/>
          <w:numId w:val="2"/>
        </w:numPr>
        <w:spacing w:after="200"/>
      </w:pPr>
      <w:r>
        <w:rPr>
          <w:b/>
          <w:bCs/>
          <w:sz w:val="22"/>
          <w:szCs w:val="22"/>
        </w:rPr>
        <w:t xml:space="preserve">Avoid: </w:t>
      </w:r>
      <w:r>
        <w:rPr>
          <w:sz w:val="22"/>
          <w:szCs w:val="22"/>
        </w:rPr>
        <w:t xml:space="preserve">"Luxury paradise," "exclusive enclave," "world-class destination." These are generic and misposition the estate. Mount Brevitor is accessible, not exclusive.</w:t>
      </w:r>
    </w:p>
    <w:p>
      <w:pPr>
        <w:pStyle w:val="Heading2"/>
      </w:pPr>
      <w:r>
        <w:t xml:space="preserve">5.3 Visual Identity Direction</w:t>
      </w:r>
    </w:p>
    <w:p>
      <w:pPr>
        <w:spacing w:after="120"/>
      </w:pPr>
      <w:r>
        <w:rPr>
          <w:b/>
          <w:bCs/>
          <w:sz w:val="22"/>
          <w:szCs w:val="22"/>
        </w:rPr>
        <w:t xml:space="preserve">Primary palette: </w:t>
      </w:r>
      <w:r>
        <w:rPr>
          <w:sz w:val="22"/>
          <w:szCs w:val="22"/>
        </w:rPr>
        <w:t xml:space="preserve">Deep green (estate and farm identity), gold (warmth, premium feel), and white (clean, modern).</w:t>
      </w:r>
    </w:p>
    <w:p>
      <w:pPr>
        <w:spacing w:after="120"/>
      </w:pPr>
      <w:r>
        <w:rPr>
          <w:b/>
          <w:bCs/>
          <w:sz w:val="22"/>
          <w:szCs w:val="22"/>
        </w:rPr>
        <w:t xml:space="preserve">Typography: </w:t>
      </w:r>
      <w:r>
        <w:rPr>
          <w:sz w:val="22"/>
          <w:szCs w:val="22"/>
        </w:rPr>
        <w:t xml:space="preserve">Serif headings (e.g. Georgia) for warmth and tradition. Sans-serif body text (e.g. Arial) for clarity and modernity. This pairing reflects the estate's blend of agricultural heritage and contemporary living.</w:t>
      </w:r>
    </w:p>
    <w:p>
      <w:pPr>
        <w:spacing w:after="200"/>
      </w:pPr>
      <w:r>
        <w:rPr>
          <w:b/>
          <w:bCs/>
          <w:sz w:val="22"/>
          <w:szCs w:val="22"/>
        </w:rPr>
        <w:t xml:space="preserve">Imagery style: </w:t>
      </w:r>
      <w:r>
        <w:rPr>
          <w:sz w:val="22"/>
          <w:szCs w:val="22"/>
        </w:rPr>
        <w:t xml:space="preserve">Aerial photography of the actual site. Natural light. Green landscapes. Real food production. Avoid stock photography of generic tropical settings. The imagery should show what the estate actually looks like and what it will actually produce.</w:t>
      </w:r>
    </w:p>
    <w:p>
      <w:r>
        <w:br w:type="page"/>
      </w:r>
    </w:p>
    <w:p>
      <w:pPr>
        <w:pStyle w:val="Heading1"/>
      </w:pPr>
      <w:r>
        <w:t xml:space="preserve">6. Key Messages by Audience</w:t>
      </w:r>
    </w:p>
    <w:p>
      <w:pPr>
        <w:spacing w:after="200"/>
      </w:pPr>
      <w:r>
        <w:rPr>
          <w:sz w:val="22"/>
          <w:szCs w:val="22"/>
        </w:rPr>
        <w:t xml:space="preserve">Each audience requires a distinct framing of the same core proposition. The following messages are designed for use in presentations, written communications, and marketing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Audience</w:t>
            </w:r>
          </w:p>
        </w:tc>
        <w:tc>
          <w:tcPr>
            <w:tcW w:type="dxa" w:w="73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Key Messages</w:t>
            </w:r>
          </w:p>
        </w:tc>
      </w:tr>
      <w:tr>
        <w:tc>
          <w:tcPr>
            <w:tcW w:type="dxa" w:w="2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20"/>
                <w:szCs w:val="20"/>
              </w:rPr>
              <w:t xml:space="preserve">Planning Authority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Addresses the national housing deficit with 355 units in the BBD 440K to BBD 1.43M range, directly serving the underserved middle-income segment. 2. Integrates agricultural production on designated agricultural land, maintaining productive use while enabling dual-purpose agrivoltaic solar. 3. Targets EDGE Advanced or LEED Silver certification, demonstrating commitment to environmental standards. 4. Delivers community infrastructure (medical centre, supermarket, recreational facilities) that reduces pressure on parish services. 5. Aligns with Barbados National Strategic Plan objectives for housing, renewable energy, and agricultural diversification.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Investors and Lenders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GDV of approximately BBD 265M (USD 133M) across 355 units and non-residential revenue streams. 2. Diversified revenue: residential sales, farm production, golf entertainment, solar energy, commercial leasing. No single-source dependency. 3. Northern Barbados growth corridor: 10% annual price growth, structural demand exceeding supply by 10,000+ units. 4. Pre-sales strategy with 95% LTV financing innovation reduces buyer deposit barriers and accelerates absorption. 5. Experienced developer with proprietary construction technology (FLAG: savings claims require independent verification).</w:t>
            </w:r>
          </w:p>
        </w:tc>
      </w:tr>
      <w:tr>
        <w:tc>
          <w:tcPr>
            <w:tcW w:type="dxa" w:w="2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20"/>
                <w:szCs w:val="20"/>
              </w:rPr>
              <w:t xml:space="preserve">Buyers (Local)</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Own your home with just BBD 22,000 down. 95% financing at 4.5% fixed rate makes ownership accessible. 2. Everything you need is on your doorstep: medical centre, supermarket, gym, pool, pickleball, and golf. 3. Fresh food from the estate farm. This is not a concept; there are cows, crops, and a farm shop. 4. Built for Barbados: hurricane-rated construction, solar energy, on-site water treatment, tropical-optimised design. 5. A neighbourhood, not just a housing development. Your children grow up in a managed, safe community.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Buyers (Diaspora / International)</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Come home to something that did not exist when you left. An estate with farm, golf, energy independence, and community. 2. Your property is managed within a functioning estate. No absentee landlord headaches. 3. Northern Barbados offers 30-50% more value per square foot than the west coast, with better growth prospects. 4. EDGE/LEED certified. Built to international sustainability standards. 5. Welcome Stamp visa programme provides a straightforward residency pathway for international buyers.</w:t>
            </w:r>
          </w:p>
        </w:tc>
      </w:tr>
      <w:tr>
        <w:tc>
          <w:tcPr>
            <w:tcW w:type="dxa" w:w="2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tcPr>
          <w:p>
            <w:r>
              <w:rPr>
                <w:rFonts w:ascii="Arial" w:cs="Arial" w:eastAsia="Arial" w:hAnsi="Arial"/>
                <w:b/>
                <w:bCs/>
                <w:color w:val="333333"/>
                <w:sz w:val="20"/>
                <w:szCs w:val="20"/>
              </w:rPr>
              <w:t xml:space="preserve">Media</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Mount Brevitor is the first Barbados residential development to integrate a working farm, branded golf entertainment, and hybrid green energy in a single estate. 2. The project addresses a national housing deficit of 10,000+ units with an innovative financing model. 3. The agri-estate produces food for residents, reducing import dependency and creating a farm-to-table identity unique in Caribbean residential development. 4. Targeting EDGE Advanced or LEED Silver, the estate is designed as a model for sustainable Caribbean development. 5. 355 homes across four phases, 120 acres, BBD 265M GDV. The largest integrated estate development in northern Barbados.</w:t>
            </w:r>
          </w:p>
        </w:tc>
      </w:tr>
    </w:tbl>
    <w:p>
      <w:pPr>
        <w:spacing w:after="100" w:before="300"/>
      </w:pPr>
    </w:p>
    <w:p>
      <w:pPr>
        <w:pBdr>
          <w:top w:val="single" w:color="B8860B" w:sz="4" w:space="4"/>
        </w:pBdr>
        <w:spacing w:after="100"/>
      </w:pPr>
      <w:r>
        <w:rPr>
          <w:rFonts w:ascii="Arial" w:cs="Arial" w:eastAsia="Arial" w:hAnsi="Arial"/>
          <w:i/>
          <w:iCs/>
          <w:color w:val="999999"/>
          <w:sz w:val="20"/>
          <w:szCs w:val="20"/>
        </w:rPr>
        <w:t xml:space="preserve">End of Document</w:t>
      </w:r>
    </w:p>
    <w:p>
      <w:r>
        <w:rPr>
          <w:rFonts w:ascii="Arial" w:cs="Arial" w:eastAsia="Arial" w:hAnsi="Arial"/>
          <w:color w:val="999999"/>
          <w:sz w:val="18"/>
          <w:szCs w:val="18"/>
        </w:rPr>
        <w:t xml:space="preserve">Mount Brevitor Estate Development  |  Brand Positioning v2.0  |  Infinity Developers Inc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Brand Positioning Document | Infinity Developers Inc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tabs>
        <w:tab w:val="right" w:pos="9026"/>
      </w:tabs>
    </w:pPr>
    <w:r>
      <w:rPr>
        <w:rFonts w:ascii="Georgia" w:cs="Georgia" w:eastAsia="Georgia" w:hAnsi="Georgia"/>
        <w:b/>
        <w:bCs/>
        <w:color w:val="1B5E20"/>
        <w:sz w:val="16"/>
        <w:szCs w:val="16"/>
      </w:rPr>
      <w:t xml:space="preserve">Mount Brevitor Estate Development</w:t>
    </w:r>
    <w:r>
      <w:rPr>
        <w:rFonts w:ascii="Arial" w:cs="Arial" w:eastAsia="Arial" w:hAnsi="Arial"/>
        <w:color w:val="999999"/>
        <w:sz w:val="16"/>
        <w:szCs w:val="16"/>
      </w:rPr>
      <w:t xml:space="preserve">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5E20"/>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2E7D3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B886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2026-03-05T09:07:28.581Z</dcterms:created>
  <dcterms:modified xsi:type="dcterms:W3CDTF">2026-03-05T09:07:28.582Z</dcterms:modified>
</cp:coreProperties>
</file>

<file path=docProps/custom.xml><?xml version="1.0" encoding="utf-8"?>
<Properties xmlns="http://schemas.openxmlformats.org/officeDocument/2006/custom-properties" xmlns:vt="http://schemas.openxmlformats.org/officeDocument/2006/docPropsVTypes"/>
</file>