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Georgia" w:cs="Georgia" w:eastAsia="Georgia" w:hAnsi="Georgia"/>
          <w:b/>
          <w:bCs/>
          <w:color w:val="1B5E20"/>
          <w:sz w:val="56"/>
          <w:szCs w:val="56"/>
        </w:rPr>
        <w:t xml:space="preserve">MOUNT BREVITOR</w:t>
      </w:r>
    </w:p>
    <w:p>
      <w:pPr>
        <w:spacing w:after="200"/>
        <w:jc w:val="center"/>
      </w:pPr>
      <w:r>
        <w:rPr>
          <w:rFonts w:ascii="Georgia" w:cs="Georgia" w:eastAsia="Georgia" w:hAnsi="Georgia"/>
          <w:color w:val="2E7D32"/>
          <w:sz w:val="44"/>
          <w:szCs w:val="44"/>
        </w:rPr>
        <w:t xml:space="preserve">ESTATE DEVELOPMENT</w:t>
      </w:r>
    </w:p>
    <w:p>
      <w:pPr>
        <w:pBdr>
          <w:top w:val="single" w:color="B8860B" w:sz="6" w:space="8"/>
          <w:bottom w:val="single" w:color="B8860B" w:sz="6" w:space="8"/>
        </w:pBdr>
        <w:spacing w:after="80"/>
        <w:jc w:val="center"/>
      </w:pPr>
      <w:r>
        <w:rPr>
          <w:rFonts w:ascii="Georgia" w:cs="Georgia" w:eastAsia="Georgia" w:hAnsi="Georgia"/>
          <w:color w:val="B8860B"/>
          <w:sz w:val="28"/>
          <w:szCs w:val="28"/>
        </w:rPr>
        <w:t xml:space="preserve">Land Allocation Strategy</w:t>
      </w:r>
    </w:p>
    <w:p>
      <w:pPr>
        <w:spacing w:after="400"/>
      </w:pPr>
    </w:p>
    <w:p>
      <w:pPr>
        <w:spacing w:after="60"/>
        <w:jc w:val="center"/>
      </w:pPr>
      <w:r>
        <w:rPr>
          <w:rFonts w:ascii="Arial" w:cs="Arial" w:eastAsia="Arial" w:hAnsi="Arial"/>
          <w:color w:val="666666"/>
          <w:sz w:val="22"/>
          <w:szCs w:val="22"/>
        </w:rPr>
        <w:t xml:space="preserve">Northern Barbados  |  120 Acres  |  Mixed-Use Estate</w:t>
      </w:r>
    </w:p>
    <w:p>
      <w:pPr>
        <w:spacing w:after="60"/>
        <w:jc w:val="center"/>
      </w:pPr>
      <w:r>
        <w:rPr>
          <w:rFonts w:ascii="Arial" w:cs="Arial" w:eastAsia="Arial" w:hAnsi="Arial"/>
          <w:color w:val="666666"/>
          <w:sz w:val="20"/>
          <w:szCs w:val="20"/>
        </w:rPr>
        <w:t xml:space="preserve">Workstream A  |  Document v2.0  |  March 2025  |  CONFIDENTIAL</w:t>
      </w:r>
    </w:p>
    <w:p>
      <w:pPr>
        <w:jc w:val="center"/>
      </w:pPr>
      <w:r>
        <w:rPr>
          <w:rFonts w:ascii="Arial" w:cs="Arial" w:eastAsia="Arial" w:hAnsi="Arial"/>
          <w:color w:val="666666"/>
          <w:sz w:val="20"/>
          <w:szCs w:val="20"/>
        </w:rPr>
        <w:t xml:space="preserve">Developer: Infinity Developers Inc (Ltd, Barbados)</w:t>
      </w:r>
    </w:p>
    <w:p>
      <w:r>
        <w:br w:type="page"/>
      </w:r>
    </w:p>
    <w:p>
      <w:pPr>
        <w:pStyle w:val="Heading1"/>
      </w:pPr>
      <w:r>
        <w:t xml:space="preserve">1. Land Allocation Overview</w:t>
      </w:r>
    </w:p>
    <w:p>
      <w:pPr>
        <w:spacing w:after="200"/>
      </w:pPr>
      <w:r>
        <w:rPr>
          <w:rFonts w:ascii="Arial" w:cs="Arial" w:eastAsia="Arial" w:hAnsi="Arial"/>
          <w:sz w:val="22"/>
          <w:szCs w:val="22"/>
        </w:rPr>
        <w:t xml:space="preserve">This document sets out the proposed allocation of 120 acres across all estate components. The allocation balances residential density, amenity provision, agricultural commitment, infrastructure requirements, and environmental buffer obligations. All figures are indicative and subject to detailed master planning and site survey.</w:t>
      </w:r>
    </w:p>
    <w:p>
      <w:pPr>
        <w:spacing w:after="200"/>
      </w:pPr>
      <w:r>
        <w:rPr>
          <w:rFonts w:ascii="Arial" w:cs="Arial" w:eastAsia="Arial" w:hAnsi="Arial"/>
          <w:sz w:val="22"/>
          <w:szCs w:val="22"/>
        </w:rPr>
        <w:t xml:space="preserve">The allocation is designed to support four development phases from 2025 to 2028, with reserve land retained for future flexibility. The guiding principle is that non-residential components (farm, golf, community, green infrastructure) should be visible and operational as early as possible to establish the estate identity and support residential sales.</w:t>
      </w:r>
    </w:p>
    <w:p>
      <w:pPr>
        <w:pStyle w:val="Heading1"/>
      </w:pPr>
      <w:r>
        <w:t xml:space="preserve">2. Proposed Acreage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700"/>
        <w:gridCol w:w="48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Acres</w:t>
            </w:r>
          </w:p>
        </w:tc>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 of Site</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Residential Clusters (Phases 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55-60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46-50%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355 units at avg 6-7 units/acre. Includes gardens, parking, internal paths.</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Working Farm (Agri-Estate)</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15-17</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13-14%</w:t>
            </w:r>
          </w:p>
        </w:tc>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48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Aquaponics, containers, dairy, cheese. Incl. 6-acre designated agricultural parcel.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X Range Golf Entertainment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Driving range, bar/restaurant, parking. Partially on 6-acre agricultural land.</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Community Facilities</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48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Medical centre, supermarket, pool, gym, pickleball courts, community hall.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Green Infrastructure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Solar array (agrivoltaic), battery storage, water treatment plant, utility buildings.</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Roads and Circulation</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10-12</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8-10%</w:t>
            </w:r>
          </w:p>
        </w:tc>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48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estate road, secondary roads, pedestrian/cycle paths, utility corridors.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Green Space and Buffers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Landscaped buffers, stormwater management, recreational green, tree preservation.</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Commercial / Retail Lots</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48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Small commercial plots for services, offices, or retail beyond supermarket.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Reserve / Contingency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Unallocated land for future expansion, additional amenities, or density adjustment.</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TOTAL</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~120</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100%</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c>
          <w:tcPr>
            <w:tcW w:type="dxa" w:w="4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r>
    </w:tbl>
    <w:p>
      <w:pPr>
        <w:spacing w:after="200"/>
      </w:pPr>
      <w:r>
        <w:rPr>
          <w:rFonts w:ascii="Arial" w:cs="Arial" w:eastAsia="Arial" w:hAnsi="Arial"/>
          <w:sz w:val="22"/>
          <w:szCs w:val="22"/>
        </w:rPr>
        <w:t xml:space="preserve">Note: Ranges reflect flexibility pending detailed master planning. Actual boundaries will be determined by topography, drainage patterns, and site survey results.</w:t>
      </w:r>
    </w:p>
    <w:p>
      <w:pPr>
        <w:pStyle w:val="Heading1"/>
      </w:pPr>
      <w:r>
        <w:t xml:space="preserve">3. Allocation Rationale</w:t>
      </w:r>
    </w:p>
    <w:p>
      <w:pPr>
        <w:pStyle w:val="Heading2"/>
      </w:pPr>
      <w:r>
        <w:t xml:space="preserve">3.1 Residential Clusters (55-60 acres)</w:t>
      </w:r>
    </w:p>
    <w:p>
      <w:pPr>
        <w:spacing w:after="200"/>
      </w:pPr>
      <w:r>
        <w:rPr>
          <w:rFonts w:ascii="Arial" w:cs="Arial" w:eastAsia="Arial" w:hAnsi="Arial"/>
          <w:sz w:val="22"/>
          <w:szCs w:val="22"/>
        </w:rPr>
        <w:t xml:space="preserve">The residential allocation of 46-50% of the site is consistent with mixed-use estate benchmarks in the Caribbean (typically 45-55% for integrated communities). At 355 units across 55-60 acres, the average density is approximately 6 to 7 units per acre, which accommodates the product range from compact 1-bed condominiums (higher density clusters) to 5-bed estate homes (lower density plots). This density is below typical suburban Barbados development (8-12 units/acre) but above rural estate density (2-4 units/acre), reflecting the estate's mid-market to upper-mid positioning.</w:t>
      </w:r>
    </w:p>
    <w:p>
      <w:pPr>
        <w:spacing w:after="200"/>
      </w:pPr>
      <w:r>
        <w:rPr>
          <w:rFonts w:ascii="Arial" w:cs="Arial" w:eastAsia="Arial" w:hAnsi="Arial"/>
          <w:sz w:val="22"/>
          <w:szCs w:val="22"/>
        </w:rPr>
        <w:t xml:space="preserve">Residential land is organised into five clusters (A through E), each allocated to a specific phase and product type. Cluster boundaries will follow natural topographic features where possible, with landscaped buffers between clusters to create distinct neighbourhood identities.</w:t>
      </w:r>
    </w:p>
    <w:p>
      <w:pPr>
        <w:pStyle w:val="Heading2"/>
      </w:pPr>
      <w:r>
        <w:t xml:space="preserve">3.2 Working Farm / Agri-Estate (15-17 acres)</w:t>
      </w:r>
    </w:p>
    <w:p>
      <w:pPr>
        <w:spacing w:after="200"/>
      </w:pPr>
      <w:r>
        <w:rPr>
          <w:rFonts w:ascii="Arial" w:cs="Arial" w:eastAsia="Arial" w:hAnsi="Arial"/>
          <w:sz w:val="22"/>
          <w:szCs w:val="22"/>
        </w:rPr>
        <w:t xml:space="preserve">The farm allocation of 13-14% reflects the recommended Model C (Estate Supply) operating model, which requires sufficient land for aquaponics infrastructure, containerised vegetable growing, dairy pasture, and a cheese production facility. The 6-acre designated agricultural parcel forms the core of the farm allocation, with an additional 9-11 acres of non-designated land providing expansion capacity.</w:t>
      </w:r>
    </w:p>
    <w:p>
      <w:pPr>
        <w:spacing w:after="200"/>
      </w:pPr>
      <w:r>
        <w:rPr>
          <w:rFonts w:ascii="Arial" w:cs="Arial" w:eastAsia="Arial" w:hAnsi="Arial"/>
          <w:sz w:val="22"/>
          <w:szCs w:val="22"/>
        </w:rPr>
        <w:t xml:space="preserve">The farm is deliberately oversized relative to minimum operational needs. This provides buffer capacity for agri-tourism (Model B elements), seasonal production variation, and visual amenity. A working farm with visible livestock, growing systems, and a farm shop requires space to feel authentic rather than token.</w:t>
      </w:r>
    </w:p>
    <w:p>
      <w:pPr>
        <w:pStyle w:val="Heading2"/>
      </w:pPr>
      <w:r>
        <w:t xml:space="preserve">3.3 X Range Golf Entertainment (6-8 acres)</w:t>
      </w:r>
    </w:p>
    <w:p>
      <w:pPr>
        <w:spacing w:after="200"/>
      </w:pPr>
      <w:r>
        <w:rPr>
          <w:rFonts w:ascii="Arial" w:cs="Arial" w:eastAsia="Arial" w:hAnsi="Arial"/>
          <w:sz w:val="22"/>
          <w:szCs w:val="22"/>
        </w:rPr>
        <w:t xml:space="preserve">The X Range allocation covers the driving range itself (approximately 3-4 acres for the range field), the bar and restaurant building (0.5 acres), parking and circulation (1-1.5 acres), and landscaping and buffer zones (1-2 acres). The range is positioned adjacent to but not within the farm to allow independent operation while maintaining visual connection to the agricultural landscape.</w:t>
      </w:r>
    </w:p>
    <w:p>
      <w:pPr>
        <w:shd w:fill="FFF8E1" w:val="clear"/>
        <w:spacing w:after="200"/>
      </w:pPr>
      <w:r>
        <w:rPr>
          <w:rFonts w:ascii="Arial" w:cs="Arial" w:eastAsia="Arial" w:hAnsi="Arial"/>
          <w:b/>
          <w:bCs/>
          <w:color w:val="B8860B"/>
          <w:sz w:val="22"/>
          <w:szCs w:val="22"/>
        </w:rPr>
        <w:t xml:space="preserve">FLAG: </w:t>
      </w:r>
      <w:r>
        <w:rPr>
          <w:rFonts w:ascii="Arial" w:cs="Arial" w:eastAsia="Arial" w:hAnsi="Arial"/>
          <w:sz w:val="22"/>
          <w:szCs w:val="22"/>
        </w:rPr>
        <w:t xml:space="preserve">Approximately 3-4 acres of the X Range footprint falls on the 6-acre designated agricultural parcel. Agricultural land conversion consent is required before construction can proceed. If conversion is refused, the X Range must be relocated to non-designated land, which may require resizing or reconfiguration. A fallback location should be identified during master planning.</w:t>
      </w:r>
    </w:p>
    <w:p>
      <w:pPr>
        <w:pStyle w:val="Heading2"/>
      </w:pPr>
      <w:r>
        <w:t xml:space="preserve">3.4 Community Facilities (4-5 acres)</w:t>
      </w:r>
    </w:p>
    <w:p>
      <w:pPr>
        <w:spacing w:after="200"/>
      </w:pPr>
      <w:r>
        <w:rPr>
          <w:rFonts w:ascii="Arial" w:cs="Arial" w:eastAsia="Arial" w:hAnsi="Arial"/>
          <w:sz w:val="22"/>
          <w:szCs w:val="22"/>
        </w:rPr>
        <w:t xml:space="preserve">Community facilities are concentrated in a central location accessible from all residential clusters. The allocation covers the medical centre (0.5 acres), supermarket and retail (1 acre), pool, gym, and clubhouse (1 acre), pickleball courts (0.5 acres), community hall (0.5 acres), and associated parking and landscaping (0.5-1 acre). Central placement ensures no cluster is more than a 5-10 minute walk from core services.</w:t>
      </w:r>
    </w:p>
    <w:p>
      <w:pPr>
        <w:pStyle w:val="Heading2"/>
      </w:pPr>
      <w:r>
        <w:t xml:space="preserve">3.5 Green Infrastructure (5-6 acres)</w:t>
      </w:r>
    </w:p>
    <w:p>
      <w:pPr>
        <w:spacing w:after="200"/>
      </w:pPr>
      <w:r>
        <w:rPr>
          <w:rFonts w:ascii="Arial" w:cs="Arial" w:eastAsia="Arial" w:hAnsi="Arial"/>
          <w:sz w:val="22"/>
          <w:szCs w:val="22"/>
        </w:rPr>
        <w:t xml:space="preserve">The agrivoltaic solar array is positioned on the designated agricultural land, providing dual-purpose use that strengthens the agricultural land conversion argument. The water treatment plant requires a setback from residential areas (typically 50-100 metres) and is positioned on the estate perimeter, ideally on lower ground to facilitate gravity-assisted drainage. Battery storage is co-located with the solar array.</w:t>
      </w:r>
    </w:p>
    <w:p>
      <w:pPr>
        <w:pStyle w:val="Heading2"/>
      </w:pPr>
      <w:r>
        <w:t xml:space="preserve">3.6 Roads and Circulation (10-12 acres)</w:t>
      </w:r>
    </w:p>
    <w:p>
      <w:pPr>
        <w:spacing w:after="200"/>
      </w:pPr>
      <w:r>
        <w:rPr>
          <w:rFonts w:ascii="Arial" w:cs="Arial" w:eastAsia="Arial" w:hAnsi="Arial"/>
          <w:sz w:val="22"/>
          <w:szCs w:val="22"/>
        </w:rPr>
        <w:t xml:space="preserve">The estate road network comprises a primary loop road (approximately 2.5 km, 8-10 metre carriageway), secondary roads serving individual clusters (4-5 metre carriageway), pedestrian and cycle paths (2-3 metre shared surface), and utility corridors for water, sewer, electricity, and telecommunications. The 8-10% land take for circulation is within standard practice for planned communities of this scale.</w:t>
      </w:r>
    </w:p>
    <w:p>
      <w:pPr>
        <w:pStyle w:val="Heading2"/>
      </w:pPr>
      <w:r>
        <w:t xml:space="preserve">3.7 Green Space and Buffers (12-15 acres)</w:t>
      </w:r>
    </w:p>
    <w:p>
      <w:pPr>
        <w:spacing w:after="200"/>
      </w:pPr>
      <w:r>
        <w:rPr>
          <w:rFonts w:ascii="Arial" w:cs="Arial" w:eastAsia="Arial" w:hAnsi="Arial"/>
          <w:sz w:val="22"/>
          <w:szCs w:val="22"/>
        </w:rPr>
        <w:t xml:space="preserve">Green space allocation of 10-13% serves multiple functions: visual amenity and landscape quality, stormwater management (retention ponds, swales, permeable surfaces), environmental buffers between incompatible uses (e.g., farm and residential, water treatment and residential), preservation of mature trees and natural features, and recreational open space (trails, gardens, play areas). This allocation will be refined following the EIA, which may identify specific ecological features requiring preservation.</w:t>
      </w:r>
    </w:p>
    <w:p>
      <w:pPr>
        <w:pStyle w:val="Heading2"/>
      </w:pPr>
      <w:r>
        <w:t xml:space="preserve">3.8 Reserve / Contingency (5-8 acres)</w:t>
      </w:r>
    </w:p>
    <w:p>
      <w:pPr>
        <w:spacing w:after="200"/>
      </w:pPr>
      <w:r>
        <w:rPr>
          <w:rFonts w:ascii="Arial" w:cs="Arial" w:eastAsia="Arial" w:hAnsi="Arial"/>
          <w:sz w:val="22"/>
          <w:szCs w:val="22"/>
        </w:rPr>
        <w:t xml:space="preserve">Reserve land is deliberately retained for three purposes. First, it provides a density buffer: if market demand supports additional units in Phase 4, the reserve can absorb 20-30 additional homes without compromising the estate plan. Second, it provides an amenity buffer: if a buyer survey identifies demand for additional facilities (e.g., tennis courts, a second pool, coworking space), the reserve provides land. Third, it provides a planning buffer: if the EIA or planning conditions require design modifications that consume additional land, the reserve absorbs the impact without reducing allocated components.</w:t>
      </w:r>
    </w:p>
    <w:p>
      <w:r>
        <w:br w:type="page"/>
      </w:r>
    </w:p>
    <w:p>
      <w:pPr>
        <w:pStyle w:val="Heading1"/>
      </w:pPr>
      <w:r>
        <w:t xml:space="preserve">4. Agricultural Land Constraint</w:t>
      </w:r>
    </w:p>
    <w:p>
      <w:pPr>
        <w:spacing w:after="200"/>
      </w:pPr>
      <w:r>
        <w:rPr>
          <w:rFonts w:ascii="Arial" w:cs="Arial" w:eastAsia="Arial" w:hAnsi="Arial"/>
          <w:sz w:val="22"/>
          <w:szCs w:val="22"/>
        </w:rPr>
        <w:t xml:space="preserve">Six acres of the site carry a designated agricultural classification under the Barbados Physical Development Plan. This is the single most important constraint on the land allocation strategy, as it directly affects the positioning of the X Range, the solar array, and the farm.</w:t>
      </w:r>
    </w:p>
    <w:p>
      <w:pPr>
        <w:pStyle w:val="Heading2"/>
      </w:pPr>
      <w:r>
        <w:t xml:space="preserve">4.1 Proposed Use of the 6-Acre Parcel</w:t>
      </w:r>
    </w:p>
    <w:p>
      <w:pPr>
        <w:pStyle w:val="ListParagraph"/>
        <w:numPr>
          <w:ilvl w:val="0"/>
          <w:numId w:val="2"/>
        </w:numPr>
        <w:spacing w:after="200"/>
      </w:pPr>
      <w:r>
        <w:rPr>
          <w:rFonts w:ascii="Arial" w:cs="Arial" w:eastAsia="Arial" w:hAnsi="Arial"/>
          <w:sz w:val="22"/>
          <w:szCs w:val="22"/>
        </w:rPr>
        <w:t xml:space="preserve">Agrivoltaic solar array: solar panels elevated above ground level with continued agricultural production underneath. This is the strongest argument for retaining the agricultural designation while adding renewable energy infrastructure.</w:t>
      </w:r>
    </w:p>
    <w:p>
      <w:pPr>
        <w:pStyle w:val="ListParagraph"/>
        <w:numPr>
          <w:ilvl w:val="0"/>
          <w:numId w:val="2"/>
        </w:numPr>
        <w:spacing w:after="200"/>
      </w:pPr>
      <w:r>
        <w:rPr>
          <w:rFonts w:ascii="Arial" w:cs="Arial" w:eastAsia="Arial" w:hAnsi="Arial"/>
          <w:sz w:val="22"/>
          <w:szCs w:val="22"/>
        </w:rPr>
        <w:t xml:space="preserve">Aquaponics and containerised growing: positioned under or adjacent to the solar canopy. Demonstrates continued food production on the designated land.</w:t>
      </w:r>
    </w:p>
    <w:p>
      <w:pPr>
        <w:pStyle w:val="ListParagraph"/>
        <w:numPr>
          <w:ilvl w:val="0"/>
          <w:numId w:val="2"/>
        </w:numPr>
        <w:spacing w:after="200"/>
      </w:pPr>
      <w:r>
        <w:rPr>
          <w:rFonts w:ascii="Arial" w:cs="Arial" w:eastAsia="Arial" w:hAnsi="Arial"/>
          <w:sz w:val="22"/>
          <w:szCs w:val="22"/>
        </w:rPr>
        <w:t xml:space="preserve">Partial X Range footprint: the driving range field extends onto the agricultural parcel. This is the weakest element of the dual-use argument, as a driving range is not agricultural activity.</w:t>
      </w:r>
    </w:p>
    <w:p>
      <w:pPr>
        <w:pStyle w:val="Heading2"/>
      </w:pPr>
      <w:r>
        <w:t xml:space="preserve">4.2 Fallback Options</w:t>
      </w:r>
    </w:p>
    <w:p>
      <w:pPr>
        <w:spacing w:after="200"/>
      </w:pPr>
      <w:r>
        <w:rPr>
          <w:rFonts w:ascii="Arial" w:cs="Arial" w:eastAsia="Arial" w:hAnsi="Arial"/>
          <w:sz w:val="22"/>
          <w:szCs w:val="22"/>
        </w:rPr>
        <w:t xml:space="preserve">If agricultural land conversion is refused for the X Range component, the following fallback positions are available:</w:t>
      </w:r>
    </w:p>
    <w:p>
      <w:pPr>
        <w:pStyle w:val="ListParagraph"/>
        <w:numPr>
          <w:ilvl w:val="0"/>
          <w:numId w:val="2"/>
        </w:numPr>
        <w:spacing w:after="200"/>
      </w:pPr>
      <w:r>
        <w:rPr>
          <w:rFonts w:ascii="Arial" w:cs="Arial" w:eastAsia="Arial" w:hAnsi="Arial"/>
          <w:sz w:val="22"/>
          <w:szCs w:val="22"/>
        </w:rPr>
        <w:t xml:space="preserve">Option A: Relocate the X Range entirely to non-designated land, increasing the residential or green space allocation on the agricultural parcel. This preserves the solar and farm uses but moves the golf component to a less optimal location.</w:t>
      </w:r>
    </w:p>
    <w:p>
      <w:pPr>
        <w:pStyle w:val="ListParagraph"/>
        <w:numPr>
          <w:ilvl w:val="0"/>
          <w:numId w:val="2"/>
        </w:numPr>
        <w:spacing w:after="200"/>
      </w:pPr>
      <w:r>
        <w:rPr>
          <w:rFonts w:ascii="Arial" w:cs="Arial" w:eastAsia="Arial" w:hAnsi="Arial"/>
          <w:sz w:val="22"/>
          <w:szCs w:val="22"/>
        </w:rPr>
        <w:t xml:space="preserve">Option B: Reduce the X Range to a simulator-based facility that can operate within a building on non-agricultural land. This eliminates the need for the driving range field but fundamentally changes the X Range product.</w:t>
      </w:r>
    </w:p>
    <w:p>
      <w:pPr>
        <w:pStyle w:val="ListParagraph"/>
        <w:numPr>
          <w:ilvl w:val="0"/>
          <w:numId w:val="2"/>
        </w:numPr>
        <w:spacing w:after="200"/>
      </w:pPr>
      <w:r>
        <w:rPr>
          <w:rFonts w:ascii="Arial" w:cs="Arial" w:eastAsia="Arial" w:hAnsi="Arial"/>
          <w:sz w:val="22"/>
          <w:szCs w:val="22"/>
        </w:rPr>
        <w:t xml:space="preserve">Option C: Convert the X Range component to a par-3 short course or putting green, which may be arguable as a recreational use compatible with the estate's agricultural character. This is a lower-capex option but may not deliver the same lifestyle and revenue impact.</w:t>
      </w:r>
    </w:p>
    <w:p>
      <w:pPr>
        <w:pStyle w:val="Heading1"/>
      </w:pPr>
      <w:r>
        <w:t xml:space="preserve">5. Development Phasing</w:t>
      </w:r>
    </w:p>
    <w:p>
      <w:pPr>
        <w:spacing w:after="200"/>
      </w:pPr>
      <w:r>
        <w:rPr>
          <w:rFonts w:ascii="Arial" w:cs="Arial" w:eastAsia="Arial" w:hAnsi="Arial"/>
          <w:sz w:val="22"/>
          <w:szCs w:val="22"/>
        </w:rPr>
        <w:t xml:space="preserve">Phasing follows two principles. First, infrastructure and identity-defining components (farm, community facilities, roads) are prioritised to establish the estate before the majority of units are sold. Second, upper-tier product is deferred until market data from earlier phases confirms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000"/>
        <w:gridCol w:w="3200"/>
        <w:gridCol w:w="3360"/>
      </w:tblGrid>
      <w:t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Area (Acres)</w:t>
            </w:r>
          </w:p>
        </w:tc>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Components</w:t>
            </w:r>
          </w:p>
        </w:tc>
        <w:tc>
          <w:tcPr>
            <w:tcW w:type="dxa" w:w="3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2025-2026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Site prep, primary road, utilities, water treatment, 80-100 units (Cluster A), model home, farm setup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Establishes infrastructure backbone. Model home and farm visibility build buyer confidence. Revenue generation begins.</w:t>
            </w:r>
          </w:p>
        </w:tc>
      </w:tr>
      <w:tr>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2026-2027</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30-35</w:t>
            </w:r>
          </w:p>
        </w:tc>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X Range construction, 100-120 units (Clusters B/C), community facilities, solar array, farm expansion</w:t>
            </w:r>
          </w:p>
        </w:tc>
        <w:tc>
          <w:tcPr>
            <w:tcW w:type="dxa" w:w="33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Peak construction and capital deployment. X Range and farm become operational. Community services attract mid-phase buyers.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2027-2028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80-100 units (Cluster D), commercial lots, upper-tier homes, remaining amenities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Upper-tier product released only after Phase 2 absorption confirms demand. Commercial lots respond to estate population.</w:t>
            </w:r>
          </w:p>
        </w:tc>
      </w:tr>
      <w:tr>
        <w:tc>
          <w:tcPr>
            <w:tcW w:type="dxa" w:w="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2028+</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15-20</w:t>
            </w:r>
          </w:p>
        </w:tc>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Remaining units (Cluster E), reserve land activation, farm at scale, full amenity operation</w:t>
            </w:r>
          </w:p>
        </w:tc>
        <w:tc>
          <w:tcPr>
            <w:tcW w:type="dxa" w:w="33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Final residential delivery. Farm and golf at full revenue. Estate management transitions to operational mode.</w:t>
            </w:r>
          </w:p>
        </w:tc>
      </w:tr>
    </w:tbl>
    <w:p>
      <w:pPr>
        <w:spacing w:before="200"/>
      </w:pPr>
    </w:p>
    <w:p>
      <w:pPr>
        <w:pStyle w:val="Heading1"/>
      </w:pPr>
      <w:r>
        <w:t xml:space="preserve">6. Master Plan Concept Description</w:t>
      </w:r>
    </w:p>
    <w:p>
      <w:pPr>
        <w:spacing w:after="200"/>
      </w:pPr>
      <w:r>
        <w:rPr>
          <w:rFonts w:ascii="Arial" w:cs="Arial" w:eastAsia="Arial" w:hAnsi="Arial"/>
          <w:sz w:val="22"/>
          <w:szCs w:val="22"/>
        </w:rPr>
        <w:t xml:space="preserve">This section provides a narrative brief suitable for an architect or master planner. It describes the intended spatial organisation of the estate without prescribing detailed design.</w:t>
      </w:r>
    </w:p>
    <w:p>
      <w:pPr>
        <w:pStyle w:val="Heading2"/>
      </w:pPr>
      <w:r>
        <w:t xml:space="preserve">6.1 Spatial Organisation</w:t>
      </w:r>
    </w:p>
    <w:p>
      <w:pPr>
        <w:spacing w:after="200"/>
      </w:pPr>
      <w:r>
        <w:rPr>
          <w:rFonts w:ascii="Arial" w:cs="Arial" w:eastAsia="Arial" w:hAnsi="Arial"/>
          <w:sz w:val="22"/>
          <w:szCs w:val="22"/>
        </w:rPr>
        <w:t xml:space="preserve">The estate is organised around a central community hub with the farm as a visual anchor. Residential clusters radiate outward from the centre, connected by the primary loop road and pedestrian paths. The X Range and farm occupy the eastern portion of the site, where the agricultural designation is located. Green infrastructure (solar, water treatment) is positioned on the estate perimeter to minimise visual and operational impact on residential areas.</w:t>
      </w:r>
    </w:p>
    <w:p>
      <w:pPr>
        <w:pStyle w:val="Heading2"/>
      </w:pPr>
      <w:r>
        <w:t xml:space="preserve">6.2 Circulation</w:t>
      </w:r>
    </w:p>
    <w:p>
      <w:pPr>
        <w:spacing w:after="200"/>
      </w:pPr>
      <w:r>
        <w:rPr>
          <w:rFonts w:ascii="Arial" w:cs="Arial" w:eastAsia="Arial" w:hAnsi="Arial"/>
          <w:sz w:val="22"/>
          <w:szCs w:val="22"/>
        </w:rPr>
        <w:t xml:space="preserve">A single primary entry point from the public road network leads to a gatehouse and estate entrance. The primary loop road provides access to all clusters and facilities without through-traffic in residential areas. Secondary cul-de-sac roads serve individual clusters. A separate pedestrian and cycle network connects all major destinations (community hub, farm shop, X Range, pool) independent of the vehicle road network.</w:t>
      </w:r>
    </w:p>
    <w:p>
      <w:pPr>
        <w:pStyle w:val="Heading2"/>
      </w:pPr>
      <w:r>
        <w:t xml:space="preserve">6.3 Landscape and Topography</w:t>
      </w:r>
    </w:p>
    <w:p>
      <w:pPr>
        <w:spacing w:after="200"/>
      </w:pPr>
      <w:r>
        <w:rPr>
          <w:rFonts w:ascii="Arial" w:cs="Arial" w:eastAsia="Arial" w:hAnsi="Arial"/>
          <w:sz w:val="22"/>
          <w:szCs w:val="22"/>
        </w:rPr>
        <w:t xml:space="preserve">The master plan should work with the site's natural topography. Northern Barbados terrain is gently undulating, and the design should use grade changes to create natural separation between uses, manage stormwater through swales and retention features, and create elevated viewpoints from premium residential plots. Mature trees should be retained wherever possible. The landscape palette should use native and drought-tolerant species to reduce irrigation demand and maintenance cost.</w:t>
      </w:r>
    </w:p>
    <w:p>
      <w:pPr>
        <w:pStyle w:val="Heading2"/>
      </w:pPr>
      <w:r>
        <w:t xml:space="preserve">6.4 Key Design Principles</w:t>
      </w:r>
    </w:p>
    <w:p>
      <w:pPr>
        <w:pStyle w:val="ListParagraph"/>
        <w:numPr>
          <w:ilvl w:val="0"/>
          <w:numId w:val="2"/>
        </w:numPr>
        <w:spacing w:after="200"/>
      </w:pPr>
      <w:r>
        <w:rPr>
          <w:rFonts w:ascii="Arial" w:cs="Arial" w:eastAsia="Arial" w:hAnsi="Arial"/>
          <w:sz w:val="22"/>
          <w:szCs w:val="22"/>
        </w:rPr>
        <w:t xml:space="preserve">Walkability: all residents within 10 minutes' walk of the community hub.</w:t>
      </w:r>
    </w:p>
    <w:p>
      <w:pPr>
        <w:pStyle w:val="ListParagraph"/>
        <w:numPr>
          <w:ilvl w:val="0"/>
          <w:numId w:val="2"/>
        </w:numPr>
        <w:spacing w:after="200"/>
      </w:pPr>
      <w:r>
        <w:rPr>
          <w:rFonts w:ascii="Arial" w:cs="Arial" w:eastAsia="Arial" w:hAnsi="Arial"/>
          <w:sz w:val="22"/>
          <w:szCs w:val="22"/>
        </w:rPr>
        <w:t xml:space="preserve">Visibility: the farm and X Range should be visible from the primary road and main residential clusters.</w:t>
      </w:r>
    </w:p>
    <w:p>
      <w:pPr>
        <w:pStyle w:val="ListParagraph"/>
        <w:numPr>
          <w:ilvl w:val="0"/>
          <w:numId w:val="2"/>
        </w:numPr>
        <w:spacing w:after="200"/>
      </w:pPr>
      <w:r>
        <w:rPr>
          <w:rFonts w:ascii="Arial" w:cs="Arial" w:eastAsia="Arial" w:hAnsi="Arial"/>
          <w:sz w:val="22"/>
          <w:szCs w:val="22"/>
        </w:rPr>
        <w:t xml:space="preserve">Separation: water treatment and utility areas screened from residential views.</w:t>
      </w:r>
    </w:p>
    <w:p>
      <w:pPr>
        <w:pStyle w:val="ListParagraph"/>
        <w:numPr>
          <w:ilvl w:val="0"/>
          <w:numId w:val="2"/>
        </w:numPr>
        <w:spacing w:after="200"/>
      </w:pPr>
      <w:r>
        <w:rPr>
          <w:rFonts w:ascii="Arial" w:cs="Arial" w:eastAsia="Arial" w:hAnsi="Arial"/>
          <w:sz w:val="22"/>
          <w:szCs w:val="22"/>
        </w:rPr>
        <w:t xml:space="preserve">Density gradient: highest density (condos) nearest the community hub; lowest density (estate homes) at the estate perimeter.</w:t>
      </w:r>
    </w:p>
    <w:p>
      <w:pPr>
        <w:pStyle w:val="ListParagraph"/>
        <w:numPr>
          <w:ilvl w:val="0"/>
          <w:numId w:val="2"/>
        </w:numPr>
        <w:spacing w:after="200"/>
      </w:pPr>
      <w:r>
        <w:rPr>
          <w:rFonts w:ascii="Arial" w:cs="Arial" w:eastAsia="Arial" w:hAnsi="Arial"/>
          <w:sz w:val="22"/>
          <w:szCs w:val="22"/>
        </w:rPr>
        <w:t xml:space="preserve">Climate response: buildings oriented to capture prevailing trade winds; shaded pedestrian routes; covered communal areas.</w:t>
      </w:r>
    </w:p>
    <w:p>
      <w:pPr>
        <w:pStyle w:val="ListParagraph"/>
        <w:numPr>
          <w:ilvl w:val="0"/>
          <w:numId w:val="2"/>
        </w:numPr>
        <w:spacing w:after="200"/>
      </w:pPr>
      <w:r>
        <w:rPr>
          <w:rFonts w:ascii="Arial" w:cs="Arial" w:eastAsia="Arial" w:hAnsi="Arial"/>
          <w:sz w:val="22"/>
          <w:szCs w:val="22"/>
        </w:rPr>
        <w:t xml:space="preserve">Resilience: all structures hurricane-rated. Stormwater capacity designed for 1-in-50-year event. Elevated electrical infrastructure.</w:t>
      </w:r>
    </w:p>
    <w:p>
      <w:pPr>
        <w:pBdr>
          <w:top w:val="single" w:color="B8860B" w:sz="4" w:space="4"/>
        </w:pBdr>
        <w:spacing w:before="300"/>
      </w:pPr>
      <w:r>
        <w:rPr>
          <w:rFonts w:ascii="Arial" w:cs="Arial" w:eastAsia="Arial" w:hAnsi="Arial"/>
          <w:i/>
          <w:iCs/>
          <w:color w:val="999999"/>
          <w:sz w:val="20"/>
          <w:szCs w:val="20"/>
        </w:rPr>
        <w:t xml:space="preserve">End of Document</w:t>
      </w:r>
    </w:p>
    <w:p>
      <w:r>
        <w:rPr>
          <w:rFonts w:ascii="Arial" w:cs="Arial" w:eastAsia="Arial" w:hAnsi="Arial"/>
          <w:color w:val="999999"/>
          <w:sz w:val="18"/>
          <w:szCs w:val="18"/>
        </w:rPr>
        <w:t xml:space="preserve">Mount Brevitor Estate Development  |  Land Allocation Strategy v2.0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Land Allocation Strategy | Infinity Developers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rFonts w:ascii="Georgia" w:cs="Georgia" w:eastAsia="Georgia" w:hAnsi="Georgia"/>
        <w:b/>
        <w:bCs/>
        <w:color w:val="1B5E20"/>
        <w:sz w:val="16"/>
        <w:szCs w:val="16"/>
      </w:rPr>
      <w:t xml:space="preserve">Mount Brevitor Estate Development</w:t>
    </w:r>
    <w:r>
      <w:rPr>
        <w:rFonts w:ascii="Arial" w:cs="Arial" w:eastAsia="Arial" w:hAnsi="Arial"/>
        <w:color w:val="999999"/>
        <w:sz w:val="16"/>
        <w:szCs w:val="16"/>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2026-03-05T09:09:56.252Z</dcterms:created>
  <dcterms:modified xsi:type="dcterms:W3CDTF">2026-03-05T09:09:56.252Z</dcterms:modified>
</cp:coreProperties>
</file>

<file path=docProps/custom.xml><?xml version="1.0" encoding="utf-8"?>
<Properties xmlns="http://schemas.openxmlformats.org/officeDocument/2006/custom-properties" xmlns:vt="http://schemas.openxmlformats.org/officeDocument/2006/docPropsVTypes"/>
</file>