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pPr>
    </w:p>
    <w:p>
      <w:pPr>
        <w:spacing w:after="100"/>
        <w:jc w:val="center"/>
      </w:pPr>
      <w:r>
        <w:rPr>
          <w:rFonts w:ascii="Georgia" w:cs="Georgia" w:eastAsia="Georgia" w:hAnsi="Georgia"/>
          <w:b/>
          <w:bCs/>
          <w:color w:val="1B5E20"/>
          <w:sz w:val="56"/>
          <w:szCs w:val="56"/>
        </w:rPr>
        <w:t xml:space="preserve">MOUNT BREVITOR</w:t>
      </w:r>
    </w:p>
    <w:p>
      <w:pPr>
        <w:spacing w:after="200"/>
        <w:jc w:val="center"/>
      </w:pPr>
      <w:r>
        <w:rPr>
          <w:rFonts w:ascii="Georgia" w:cs="Georgia" w:eastAsia="Georgia" w:hAnsi="Georgia"/>
          <w:color w:val="2E7D32"/>
          <w:sz w:val="44"/>
          <w:szCs w:val="44"/>
        </w:rPr>
        <w:t xml:space="preserve">ESTATE DEVELOPMENT</w:t>
      </w:r>
    </w:p>
    <w:p>
      <w:pPr>
        <w:pBdr>
          <w:top w:val="single" w:color="B8860B" w:sz="6" w:space="8"/>
          <w:bottom w:val="single" w:color="B8860B" w:sz="6" w:space="8"/>
        </w:pBdr>
        <w:spacing w:after="80"/>
        <w:jc w:val="center"/>
      </w:pPr>
      <w:r>
        <w:rPr>
          <w:rFonts w:ascii="Georgia" w:cs="Georgia" w:eastAsia="Georgia" w:hAnsi="Georgia"/>
          <w:color w:val="B8860B"/>
          <w:sz w:val="28"/>
          <w:szCs w:val="28"/>
        </w:rPr>
        <w:t xml:space="preserve">X Range Golf Entertainment Brief</w:t>
      </w:r>
    </w:p>
    <w:p>
      <w:pPr>
        <w:spacing w:after="400"/>
      </w:pPr>
    </w:p>
    <w:p>
      <w:pPr>
        <w:spacing w:after="60"/>
        <w:jc w:val="center"/>
      </w:pPr>
      <w:r>
        <w:rPr>
          <w:rFonts w:ascii="Arial" w:cs="Arial" w:eastAsia="Arial" w:hAnsi="Arial"/>
          <w:color w:val="666666"/>
          <w:sz w:val="20"/>
          <w:szCs w:val="20"/>
        </w:rPr>
        <w:t xml:space="preserve">Workstream D  |  Document v2.0  |  March 2025  |  CONFIDENTIAL</w:t>
      </w:r>
    </w:p>
    <w:p>
      <w:pPr>
        <w:jc w:val="center"/>
      </w:pPr>
      <w:r>
        <w:rPr>
          <w:rFonts w:ascii="Arial" w:cs="Arial" w:eastAsia="Arial" w:hAnsi="Arial"/>
          <w:color w:val="666666"/>
          <w:sz w:val="20"/>
          <w:szCs w:val="20"/>
        </w:rPr>
        <w:t xml:space="preserve">Developer: Infinity Developers Inc (Ltd, Barbados)</w:t>
      </w:r>
    </w:p>
    <w:p>
      <w:r>
        <w:br w:type="page"/>
      </w:r>
    </w:p>
    <w:p>
      <w:pPr>
        <w:shd w:fill="FFF8E1" w:val="clear"/>
        <w:spacing w:after="200"/>
      </w:pPr>
      <w:r>
        <w:rPr>
          <w:rFonts w:ascii="Arial" w:cs="Arial" w:eastAsia="Arial" w:hAnsi="Arial"/>
          <w:b/>
          <w:bCs/>
          <w:color w:val="B8860B"/>
          <w:sz w:val="22"/>
          <w:szCs w:val="22"/>
        </w:rPr>
        <w:t xml:space="preserve">FLAG: </w:t>
      </w:r>
      <w:r>
        <w:rPr>
          <w:rFonts w:ascii="Arial" w:cs="Arial" w:eastAsia="Arial" w:hAnsi="Arial"/>
          <w:sz w:val="22"/>
          <w:szCs w:val="22"/>
        </w:rPr>
        <w:t xml:space="preserve">This workstream was blocked in Phase 1 by missing developer information. The X Range operator agreement, brand specifications, capex estimate, and detailed format documentation have not been provided by the developer. All figures in this brief are stated assumptions based on comparable entertainment golf facilities. They must be replaced with verified developer and operator data before this document is used for investment decisions.</w:t>
      </w:r>
    </w:p>
    <w:p>
      <w:pPr>
        <w:pStyle w:val="Heading1"/>
      </w:pPr>
      <w:r>
        <w:t xml:space="preserve">1. Product Format Analysis</w:t>
      </w:r>
    </w:p>
    <w:p>
      <w:pPr>
        <w:spacing w:after="200"/>
      </w:pPr>
      <w:r>
        <w:rPr>
          <w:rFonts w:ascii="Arial" w:cs="Arial" w:eastAsia="Arial" w:hAnsi="Arial"/>
          <w:sz w:val="22"/>
          <w:szCs w:val="22"/>
        </w:rPr>
        <w:t xml:space="preserve">Four format options have been evaluated for the golf entertainment component. The scoring criteria are land requirement (lower is better), capex requirement (lower is better), market demand (higher is better), and estate identity fit (higher is better). Weights reflect the estate's priorities: identity fit is weighted most heavily because the golf component must reinforce, not dilute, the estate brand.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000"/>
        <w:gridCol w:w="1000"/>
        <w:gridCol w:w="1100"/>
        <w:gridCol w:w="1200"/>
        <w:gridCol w:w="1200"/>
        <w:gridCol w:w="600"/>
      </w:tblGrid>
      <w:tr>
        <w:tc>
          <w:tcPr>
            <w:tcW w:type="dxa" w:w="2400"/>
            <w:tcBorders>
              <w:top w:val="single" w:color="CCCCCC" w:sz="1"/>
              <w:left w:val="single" w:color="CCCCCC" w:sz="1"/>
              <w:bottom w:val="single" w:color="CCCCCC" w:sz="1"/>
              <w:right w:val="single" w:color="CCCCCC" w:sz="1"/>
            </w:tcBorders>
            <w:shd w:fill="1B5E20" w:val="clear"/>
            <w:tcMar>
              <w:top w:type="dxa" w:w="60"/>
              <w:left w:type="dxa" w:w="100"/>
              <w:bottom w:type="dxa" w:w="60"/>
              <w:right w:type="dxa" w:w="100"/>
            </w:tcMar>
          </w:tcPr>
          <w:p>
            <w:r>
              <w:rPr>
                <w:rFonts w:ascii="Arial" w:cs="Arial" w:eastAsia="Arial" w:hAnsi="Arial"/>
                <w:b/>
                <w:bCs/>
                <w:color w:val="FFFFFF"/>
                <w:sz w:val="20"/>
                <w:szCs w:val="20"/>
              </w:rPr>
              <w:t xml:space="preserve">Format</w:t>
            </w:r>
          </w:p>
        </w:tc>
        <w:tc>
          <w:tcPr>
            <w:tcW w:type="dxa" w:w="1000"/>
            <w:tcBorders>
              <w:top w:val="single" w:color="CCCCCC" w:sz="1"/>
              <w:left w:val="single" w:color="CCCCCC" w:sz="1"/>
              <w:bottom w:val="single" w:color="CCCCCC" w:sz="1"/>
              <w:right w:val="single" w:color="CCCCCC" w:sz="1"/>
            </w:tcBorders>
            <w:shd w:fill="1B5E20" w:val="clear"/>
            <w:tcMar>
              <w:top w:type="dxa" w:w="60"/>
              <w:left w:type="dxa" w:w="100"/>
              <w:bottom w:type="dxa" w:w="60"/>
              <w:right w:type="dxa" w:w="100"/>
            </w:tcMar>
          </w:tcPr>
          <w:p>
            <w:r>
              <w:rPr>
                <w:rFonts w:ascii="Arial" w:cs="Arial" w:eastAsia="Arial" w:hAnsi="Arial"/>
                <w:b/>
                <w:bCs/>
                <w:color w:val="FFFFFF"/>
                <w:sz w:val="20"/>
                <w:szCs w:val="20"/>
              </w:rPr>
              <w:t xml:space="preserve">Land (20%)</w:t>
            </w:r>
          </w:p>
        </w:tc>
        <w:tc>
          <w:tcPr>
            <w:tcW w:type="dxa" w:w="1000"/>
            <w:tcBorders>
              <w:top w:val="single" w:color="CCCCCC" w:sz="1"/>
              <w:left w:val="single" w:color="CCCCCC" w:sz="1"/>
              <w:bottom w:val="single" w:color="CCCCCC" w:sz="1"/>
              <w:right w:val="single" w:color="CCCCCC" w:sz="1"/>
            </w:tcBorders>
            <w:shd w:fill="1B5E20" w:val="clear"/>
            <w:tcMar>
              <w:top w:type="dxa" w:w="60"/>
              <w:left w:type="dxa" w:w="100"/>
              <w:bottom w:type="dxa" w:w="60"/>
              <w:right w:type="dxa" w:w="100"/>
            </w:tcMar>
          </w:tcPr>
          <w:p>
            <w:r>
              <w:rPr>
                <w:rFonts w:ascii="Arial" w:cs="Arial" w:eastAsia="Arial" w:hAnsi="Arial"/>
                <w:b/>
                <w:bCs/>
                <w:color w:val="FFFFFF"/>
                <w:sz w:val="20"/>
                <w:szCs w:val="20"/>
              </w:rPr>
              <w:t xml:space="preserve">Capex (20%)</w:t>
            </w:r>
          </w:p>
        </w:tc>
        <w:tc>
          <w:tcPr>
            <w:tcW w:type="dxa" w:w="1100"/>
            <w:tcBorders>
              <w:top w:val="single" w:color="CCCCCC" w:sz="1"/>
              <w:left w:val="single" w:color="CCCCCC" w:sz="1"/>
              <w:bottom w:val="single" w:color="CCCCCC" w:sz="1"/>
              <w:right w:val="single" w:color="CCCCCC" w:sz="1"/>
            </w:tcBorders>
            <w:shd w:fill="1B5E20" w:val="clear"/>
            <w:tcMar>
              <w:top w:type="dxa" w:w="60"/>
              <w:left w:type="dxa" w:w="100"/>
              <w:bottom w:type="dxa" w:w="60"/>
              <w:right w:type="dxa" w:w="100"/>
            </w:tcMar>
          </w:tcPr>
          <w:p>
            <w:r>
              <w:rPr>
                <w:rFonts w:ascii="Arial" w:cs="Arial" w:eastAsia="Arial" w:hAnsi="Arial"/>
                <w:b/>
                <w:bCs/>
                <w:color w:val="FFFFFF"/>
                <w:sz w:val="20"/>
                <w:szCs w:val="20"/>
              </w:rPr>
              <w:t xml:space="preserve">Market (25%)</w:t>
            </w:r>
          </w:p>
        </w:tc>
        <w:tc>
          <w:tcPr>
            <w:tcW w:type="dxa" w:w="1200"/>
            <w:tcBorders>
              <w:top w:val="single" w:color="CCCCCC" w:sz="1"/>
              <w:left w:val="single" w:color="CCCCCC" w:sz="1"/>
              <w:bottom w:val="single" w:color="CCCCCC" w:sz="1"/>
              <w:right w:val="single" w:color="CCCCCC" w:sz="1"/>
            </w:tcBorders>
            <w:shd w:fill="1B5E20" w:val="clear"/>
            <w:tcMar>
              <w:top w:type="dxa" w:w="60"/>
              <w:left w:type="dxa" w:w="100"/>
              <w:bottom w:type="dxa" w:w="60"/>
              <w:right w:type="dxa" w:w="100"/>
            </w:tcMar>
          </w:tcPr>
          <w:p>
            <w:r>
              <w:rPr>
                <w:rFonts w:ascii="Arial" w:cs="Arial" w:eastAsia="Arial" w:hAnsi="Arial"/>
                <w:b/>
                <w:bCs/>
                <w:color w:val="FFFFFF"/>
                <w:sz w:val="20"/>
                <w:szCs w:val="20"/>
              </w:rPr>
              <w:t xml:space="preserve">Estate Fit (35%)</w:t>
            </w:r>
          </w:p>
        </w:tc>
        <w:tc>
          <w:tcPr>
            <w:tcW w:type="dxa" w:w="1200"/>
            <w:tcBorders>
              <w:top w:val="single" w:color="CCCCCC" w:sz="1"/>
              <w:left w:val="single" w:color="CCCCCC" w:sz="1"/>
              <w:bottom w:val="single" w:color="CCCCCC" w:sz="1"/>
              <w:right w:val="single" w:color="CCCCCC" w:sz="1"/>
            </w:tcBorders>
            <w:shd w:fill="1B5E20" w:val="clear"/>
            <w:tcMar>
              <w:top w:type="dxa" w:w="60"/>
              <w:left w:type="dxa" w:w="100"/>
              <w:bottom w:type="dxa" w:w="60"/>
              <w:right w:type="dxa" w:w="100"/>
            </w:tcMar>
          </w:tcPr>
          <w:p>
            <w:r>
              <w:rPr>
                <w:rFonts w:ascii="Arial" w:cs="Arial" w:eastAsia="Arial" w:hAnsi="Arial"/>
                <w:b/>
                <w:bCs/>
                <w:color w:val="FFFFFF"/>
                <w:sz w:val="20"/>
                <w:szCs w:val="20"/>
              </w:rPr>
              <w:t xml:space="preserve">Weighted Score</w:t>
            </w:r>
          </w:p>
        </w:tc>
        <w:tc>
          <w:tcPr>
            <w:tcW w:type="dxa" w:w="600"/>
            <w:tcBorders>
              <w:top w:val="single" w:color="CCCCCC" w:sz="1"/>
              <w:left w:val="single" w:color="CCCCCC" w:sz="1"/>
              <w:bottom w:val="single" w:color="CCCCCC" w:sz="1"/>
              <w:right w:val="single" w:color="CCCCCC" w:sz="1"/>
            </w:tcBorders>
            <w:shd w:fill="1B5E20" w:val="clear"/>
            <w:tcMar>
              <w:top w:type="dxa" w:w="60"/>
              <w:left w:type="dxa" w:w="100"/>
              <w:bottom w:type="dxa" w:w="60"/>
              <w:right w:type="dxa" w:w="100"/>
            </w:tcMar>
          </w:tcPr>
          <w:p>
            <w:r>
              <w:rPr>
                <w:rFonts w:ascii="Arial" w:cs="Arial" w:eastAsia="Arial" w:hAnsi="Arial"/>
                <w:b/>
                <w:bCs/>
                <w:color w:val="FFFFFF"/>
                <w:sz w:val="20"/>
                <w:szCs w:val="20"/>
              </w:rPr>
              <w:t xml:space="preserve">Rank</w:t>
            </w:r>
          </w:p>
        </w:tc>
      </w:tr>
      <w:tr>
        <w:tc>
          <w:tcPr>
            <w:tcW w:type="dxa" w:w="24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bCs/>
                <w:color w:val="1B5E20"/>
                <w:sz w:val="20"/>
                <w:szCs w:val="20"/>
              </w:rPr>
              <w:t xml:space="preserve">Driving Range + Bar/Restaurant (X Range)</w:t>
            </w:r>
          </w:p>
        </w:tc>
        <w:tc>
          <w:tcPr>
            <w:tcW w:type="dxa" w:w="10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val="false"/>
                <w:bCs w:val="false"/>
                <w:color w:val="1B5E20"/>
                <w:sz w:val="20"/>
                <w:szCs w:val="20"/>
              </w:rPr>
              <w:t xml:space="preserve">3</w:t>
            </w:r>
          </w:p>
        </w:tc>
        <w:tc>
          <w:tcPr>
            <w:tcW w:type="dxa" w:w="10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val="false"/>
                <w:bCs w:val="false"/>
                <w:color w:val="1B5E20"/>
                <w:sz w:val="20"/>
                <w:szCs w:val="20"/>
              </w:rPr>
              <w:t xml:space="preserve">3</w:t>
            </w:r>
          </w:p>
        </w:tc>
        <w:tc>
          <w:tcPr>
            <w:tcW w:type="dxa" w:w="11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val="false"/>
                <w:bCs w:val="false"/>
                <w:color w:val="1B5E20"/>
                <w:sz w:val="20"/>
                <w:szCs w:val="20"/>
              </w:rPr>
              <w:t xml:space="preserve">4</w:t>
            </w:r>
          </w:p>
        </w:tc>
        <w:tc>
          <w:tcPr>
            <w:tcW w:type="dxa" w:w="12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val="false"/>
                <w:bCs w:val="false"/>
                <w:color w:val="1B5E20"/>
                <w:sz w:val="20"/>
                <w:szCs w:val="20"/>
              </w:rPr>
              <w:t xml:space="preserve">5</w:t>
            </w:r>
          </w:p>
        </w:tc>
        <w:tc>
          <w:tcPr>
            <w:tcW w:type="dxa" w:w="12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bCs/>
                <w:color w:val="1B5E20"/>
                <w:sz w:val="20"/>
                <w:szCs w:val="20"/>
              </w:rPr>
              <w:t xml:space="preserve">4.00</w:t>
            </w:r>
          </w:p>
        </w:tc>
        <w:tc>
          <w:tcPr>
            <w:tcW w:type="dxa" w:w="6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bCs/>
                <w:color w:val="1B5E20"/>
                <w:sz w:val="20"/>
                <w:szCs w:val="20"/>
              </w:rPr>
              <w:t xml:space="preserve">1st</w:t>
            </w:r>
          </w:p>
        </w:tc>
      </w:tr>
      <w:tr>
        <w:tc>
          <w:tcPr>
            <w:tcW w:type="dxa" w:w="2400"/>
            <w:tcBorders>
              <w:top w:val="single" w:color="CCCCCC" w:sz="1"/>
              <w:left w:val="single" w:color="CCCCCC" w:sz="1"/>
              <w:bottom w:val="single" w:color="CCCCCC" w:sz="1"/>
              <w:right w:val="single" w:color="CCCCCC" w:sz="1"/>
            </w:tcBorders>
            <w:shd w:fill="F5F5F0" w:val="clear"/>
            <w:tcMar>
              <w:top w:type="dxa" w:w="60"/>
              <w:left w:type="dxa" w:w="100"/>
              <w:bottom w:type="dxa" w:w="60"/>
              <w:right w:type="dxa" w:w="100"/>
            </w:tcMar>
          </w:tcPr>
          <w:p>
            <w:r>
              <w:rPr>
                <w:rFonts w:ascii="Arial" w:cs="Arial" w:eastAsia="Arial" w:hAnsi="Arial"/>
                <w:b/>
                <w:bCs/>
                <w:color w:val="333333"/>
                <w:sz w:val="20"/>
                <w:szCs w:val="20"/>
              </w:rPr>
              <w:t xml:space="preserve">Golf Simulator Hub</w:t>
            </w:r>
          </w:p>
        </w:tc>
        <w:tc>
          <w:tcPr>
            <w:tcW w:type="dxa" w:w="1000"/>
            <w:tcBorders>
              <w:top w:val="single" w:color="CCCCCC" w:sz="1"/>
              <w:left w:val="single" w:color="CCCCCC" w:sz="1"/>
              <w:bottom w:val="single" w:color="CCCCCC" w:sz="1"/>
              <w:right w:val="single" w:color="CCCCCC" w:sz="1"/>
            </w:tcBorders>
            <w:shd w:fill="F5F5F0" w:val="clear"/>
            <w:tcMar>
              <w:top w:type="dxa" w:w="60"/>
              <w:left w:type="dxa" w:w="100"/>
              <w:bottom w:type="dxa" w:w="60"/>
              <w:right w:type="dxa" w:w="100"/>
            </w:tcMar>
          </w:tcPr>
          <w:p>
            <w:r>
              <w:rPr>
                <w:rFonts w:ascii="Arial" w:cs="Arial" w:eastAsia="Arial" w:hAnsi="Arial"/>
                <w:b w:val="false"/>
                <w:bCs w:val="false"/>
                <w:color w:val="333333"/>
                <w:sz w:val="20"/>
                <w:szCs w:val="20"/>
              </w:rPr>
              <w:t xml:space="preserve">5</w:t>
            </w:r>
          </w:p>
        </w:tc>
        <w:tc>
          <w:tcPr>
            <w:tcW w:type="dxa" w:w="1000"/>
            <w:tcBorders>
              <w:top w:val="single" w:color="CCCCCC" w:sz="1"/>
              <w:left w:val="single" w:color="CCCCCC" w:sz="1"/>
              <w:bottom w:val="single" w:color="CCCCCC" w:sz="1"/>
              <w:right w:val="single" w:color="CCCCCC" w:sz="1"/>
            </w:tcBorders>
            <w:shd w:fill="F5F5F0" w:val="clear"/>
            <w:tcMar>
              <w:top w:type="dxa" w:w="60"/>
              <w:left w:type="dxa" w:w="100"/>
              <w:bottom w:type="dxa" w:w="60"/>
              <w:right w:type="dxa" w:w="100"/>
            </w:tcMar>
          </w:tcPr>
          <w:p>
            <w:r>
              <w:rPr>
                <w:rFonts w:ascii="Arial" w:cs="Arial" w:eastAsia="Arial" w:hAnsi="Arial"/>
                <w:b w:val="false"/>
                <w:bCs w:val="false"/>
                <w:color w:val="333333"/>
                <w:sz w:val="20"/>
                <w:szCs w:val="20"/>
              </w:rPr>
              <w:t xml:space="preserve">4</w:t>
            </w:r>
          </w:p>
        </w:tc>
        <w:tc>
          <w:tcPr>
            <w:tcW w:type="dxa" w:w="1100"/>
            <w:tcBorders>
              <w:top w:val="single" w:color="CCCCCC" w:sz="1"/>
              <w:left w:val="single" w:color="CCCCCC" w:sz="1"/>
              <w:bottom w:val="single" w:color="CCCCCC" w:sz="1"/>
              <w:right w:val="single" w:color="CCCCCC" w:sz="1"/>
            </w:tcBorders>
            <w:shd w:fill="F5F5F0" w:val="clear"/>
            <w:tcMar>
              <w:top w:type="dxa" w:w="60"/>
              <w:left w:type="dxa" w:w="100"/>
              <w:bottom w:type="dxa" w:w="60"/>
              <w:right w:type="dxa" w:w="100"/>
            </w:tcMar>
          </w:tcPr>
          <w:p>
            <w:r>
              <w:rPr>
                <w:rFonts w:ascii="Arial" w:cs="Arial" w:eastAsia="Arial" w:hAnsi="Arial"/>
                <w:b w:val="false"/>
                <w:bCs w:val="false"/>
                <w:color w:val="333333"/>
                <w:sz w:val="20"/>
                <w:szCs w:val="20"/>
              </w:rPr>
              <w:t xml:space="preserve">3</w:t>
            </w:r>
          </w:p>
        </w:tc>
        <w:tc>
          <w:tcPr>
            <w:tcW w:type="dxa" w:w="1200"/>
            <w:tcBorders>
              <w:top w:val="single" w:color="CCCCCC" w:sz="1"/>
              <w:left w:val="single" w:color="CCCCCC" w:sz="1"/>
              <w:bottom w:val="single" w:color="CCCCCC" w:sz="1"/>
              <w:right w:val="single" w:color="CCCCCC" w:sz="1"/>
            </w:tcBorders>
            <w:shd w:fill="F5F5F0" w:val="clear"/>
            <w:tcMar>
              <w:top w:type="dxa" w:w="60"/>
              <w:left w:type="dxa" w:w="100"/>
              <w:bottom w:type="dxa" w:w="60"/>
              <w:right w:type="dxa" w:w="100"/>
            </w:tcMar>
          </w:tcPr>
          <w:p>
            <w:r>
              <w:rPr>
                <w:rFonts w:ascii="Arial" w:cs="Arial" w:eastAsia="Arial" w:hAnsi="Arial"/>
                <w:b w:val="false"/>
                <w:bCs w:val="false"/>
                <w:color w:val="333333"/>
                <w:sz w:val="20"/>
                <w:szCs w:val="20"/>
              </w:rPr>
              <w:t xml:space="preserve">3</w:t>
            </w:r>
          </w:p>
        </w:tc>
        <w:tc>
          <w:tcPr>
            <w:tcW w:type="dxa" w:w="1200"/>
            <w:tcBorders>
              <w:top w:val="single" w:color="CCCCCC" w:sz="1"/>
              <w:left w:val="single" w:color="CCCCCC" w:sz="1"/>
              <w:bottom w:val="single" w:color="CCCCCC" w:sz="1"/>
              <w:right w:val="single" w:color="CCCCCC" w:sz="1"/>
            </w:tcBorders>
            <w:shd w:fill="F5F5F0" w:val="clear"/>
            <w:tcMar>
              <w:top w:type="dxa" w:w="60"/>
              <w:left w:type="dxa" w:w="100"/>
              <w:bottom w:type="dxa" w:w="60"/>
              <w:right w:type="dxa" w:w="100"/>
            </w:tcMar>
          </w:tcPr>
          <w:p>
            <w:r>
              <w:rPr>
                <w:rFonts w:ascii="Arial" w:cs="Arial" w:eastAsia="Arial" w:hAnsi="Arial"/>
                <w:b/>
                <w:bCs/>
                <w:color w:val="333333"/>
                <w:sz w:val="20"/>
                <w:szCs w:val="20"/>
              </w:rPr>
              <w:t xml:space="preserve">3.60</w:t>
            </w:r>
          </w:p>
        </w:tc>
        <w:tc>
          <w:tcPr>
            <w:tcW w:type="dxa" w:w="600"/>
            <w:tcBorders>
              <w:top w:val="single" w:color="CCCCCC" w:sz="1"/>
              <w:left w:val="single" w:color="CCCCCC" w:sz="1"/>
              <w:bottom w:val="single" w:color="CCCCCC" w:sz="1"/>
              <w:right w:val="single" w:color="CCCCCC" w:sz="1"/>
            </w:tcBorders>
            <w:shd w:fill="F5F5F0" w:val="clear"/>
            <w:tcMar>
              <w:top w:type="dxa" w:w="60"/>
              <w:left w:type="dxa" w:w="100"/>
              <w:bottom w:type="dxa" w:w="60"/>
              <w:right w:type="dxa" w:w="100"/>
            </w:tcMar>
          </w:tcPr>
          <w:p>
            <w:r>
              <w:rPr>
                <w:rFonts w:ascii="Arial" w:cs="Arial" w:eastAsia="Arial" w:hAnsi="Arial"/>
                <w:b/>
                <w:bCs/>
                <w:color w:val="333333"/>
                <w:sz w:val="20"/>
                <w:szCs w:val="20"/>
              </w:rPr>
              <w:t xml:space="preserve">2nd</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Par-3 Short Course</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2</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2</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4</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4</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3.20</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3rd</w:t>
            </w:r>
          </w:p>
        </w:tc>
      </w:tr>
      <w:tr>
        <w:tc>
          <w:tcPr>
            <w:tcW w:type="dxa" w:w="2400"/>
            <w:tcBorders>
              <w:top w:val="single" w:color="CCCCCC" w:sz="1"/>
              <w:left w:val="single" w:color="CCCCCC" w:sz="1"/>
              <w:bottom w:val="single" w:color="CCCCCC" w:sz="1"/>
              <w:right w:val="single" w:color="CCCCCC" w:sz="1"/>
            </w:tcBorders>
            <w:shd w:fill="F5F5F0" w:val="clear"/>
            <w:tcMar>
              <w:top w:type="dxa" w:w="60"/>
              <w:left w:type="dxa" w:w="100"/>
              <w:bottom w:type="dxa" w:w="60"/>
              <w:right w:type="dxa" w:w="100"/>
            </w:tcMar>
          </w:tcPr>
          <w:p>
            <w:r>
              <w:rPr>
                <w:rFonts w:ascii="Arial" w:cs="Arial" w:eastAsia="Arial" w:hAnsi="Arial"/>
                <w:b/>
                <w:bCs/>
                <w:color w:val="333333"/>
                <w:sz w:val="20"/>
                <w:szCs w:val="20"/>
              </w:rPr>
              <w:t xml:space="preserve">Hybrid (Range + Simulators)</w:t>
            </w:r>
          </w:p>
        </w:tc>
        <w:tc>
          <w:tcPr>
            <w:tcW w:type="dxa" w:w="1000"/>
            <w:tcBorders>
              <w:top w:val="single" w:color="CCCCCC" w:sz="1"/>
              <w:left w:val="single" w:color="CCCCCC" w:sz="1"/>
              <w:bottom w:val="single" w:color="CCCCCC" w:sz="1"/>
              <w:right w:val="single" w:color="CCCCCC" w:sz="1"/>
            </w:tcBorders>
            <w:shd w:fill="F5F5F0" w:val="clear"/>
            <w:tcMar>
              <w:top w:type="dxa" w:w="60"/>
              <w:left w:type="dxa" w:w="100"/>
              <w:bottom w:type="dxa" w:w="60"/>
              <w:right w:type="dxa" w:w="100"/>
            </w:tcMar>
          </w:tcPr>
          <w:p>
            <w:r>
              <w:rPr>
                <w:rFonts w:ascii="Arial" w:cs="Arial" w:eastAsia="Arial" w:hAnsi="Arial"/>
                <w:b w:val="false"/>
                <w:bCs w:val="false"/>
                <w:color w:val="333333"/>
                <w:sz w:val="20"/>
                <w:szCs w:val="20"/>
              </w:rPr>
              <w:t xml:space="preserve">3</w:t>
            </w:r>
          </w:p>
        </w:tc>
        <w:tc>
          <w:tcPr>
            <w:tcW w:type="dxa" w:w="1000"/>
            <w:tcBorders>
              <w:top w:val="single" w:color="CCCCCC" w:sz="1"/>
              <w:left w:val="single" w:color="CCCCCC" w:sz="1"/>
              <w:bottom w:val="single" w:color="CCCCCC" w:sz="1"/>
              <w:right w:val="single" w:color="CCCCCC" w:sz="1"/>
            </w:tcBorders>
            <w:shd w:fill="F5F5F0" w:val="clear"/>
            <w:tcMar>
              <w:top w:type="dxa" w:w="60"/>
              <w:left w:type="dxa" w:w="100"/>
              <w:bottom w:type="dxa" w:w="60"/>
              <w:right w:type="dxa" w:w="100"/>
            </w:tcMar>
          </w:tcPr>
          <w:p>
            <w:r>
              <w:rPr>
                <w:rFonts w:ascii="Arial" w:cs="Arial" w:eastAsia="Arial" w:hAnsi="Arial"/>
                <w:b w:val="false"/>
                <w:bCs w:val="false"/>
                <w:color w:val="333333"/>
                <w:sz w:val="20"/>
                <w:szCs w:val="20"/>
              </w:rPr>
              <w:t xml:space="preserve">2</w:t>
            </w:r>
          </w:p>
        </w:tc>
        <w:tc>
          <w:tcPr>
            <w:tcW w:type="dxa" w:w="1100"/>
            <w:tcBorders>
              <w:top w:val="single" w:color="CCCCCC" w:sz="1"/>
              <w:left w:val="single" w:color="CCCCCC" w:sz="1"/>
              <w:bottom w:val="single" w:color="CCCCCC" w:sz="1"/>
              <w:right w:val="single" w:color="CCCCCC" w:sz="1"/>
            </w:tcBorders>
            <w:shd w:fill="F5F5F0" w:val="clear"/>
            <w:tcMar>
              <w:top w:type="dxa" w:w="60"/>
              <w:left w:type="dxa" w:w="100"/>
              <w:bottom w:type="dxa" w:w="60"/>
              <w:right w:type="dxa" w:w="100"/>
            </w:tcMar>
          </w:tcPr>
          <w:p>
            <w:r>
              <w:rPr>
                <w:rFonts w:ascii="Arial" w:cs="Arial" w:eastAsia="Arial" w:hAnsi="Arial"/>
                <w:b w:val="false"/>
                <w:bCs w:val="false"/>
                <w:color w:val="333333"/>
                <w:sz w:val="20"/>
                <w:szCs w:val="20"/>
              </w:rPr>
              <w:t xml:space="preserve">4</w:t>
            </w:r>
          </w:p>
        </w:tc>
        <w:tc>
          <w:tcPr>
            <w:tcW w:type="dxa" w:w="1200"/>
            <w:tcBorders>
              <w:top w:val="single" w:color="CCCCCC" w:sz="1"/>
              <w:left w:val="single" w:color="CCCCCC" w:sz="1"/>
              <w:bottom w:val="single" w:color="CCCCCC" w:sz="1"/>
              <w:right w:val="single" w:color="CCCCCC" w:sz="1"/>
            </w:tcBorders>
            <w:shd w:fill="F5F5F0" w:val="clear"/>
            <w:tcMar>
              <w:top w:type="dxa" w:w="60"/>
              <w:left w:type="dxa" w:w="100"/>
              <w:bottom w:type="dxa" w:w="60"/>
              <w:right w:type="dxa" w:w="100"/>
            </w:tcMar>
          </w:tcPr>
          <w:p>
            <w:r>
              <w:rPr>
                <w:rFonts w:ascii="Arial" w:cs="Arial" w:eastAsia="Arial" w:hAnsi="Arial"/>
                <w:b w:val="false"/>
                <w:bCs w:val="false"/>
                <w:color w:val="333333"/>
                <w:sz w:val="20"/>
                <w:szCs w:val="20"/>
              </w:rPr>
              <w:t xml:space="preserve">4</w:t>
            </w:r>
          </w:p>
        </w:tc>
        <w:tc>
          <w:tcPr>
            <w:tcW w:type="dxa" w:w="1200"/>
            <w:tcBorders>
              <w:top w:val="single" w:color="CCCCCC" w:sz="1"/>
              <w:left w:val="single" w:color="CCCCCC" w:sz="1"/>
              <w:bottom w:val="single" w:color="CCCCCC" w:sz="1"/>
              <w:right w:val="single" w:color="CCCCCC" w:sz="1"/>
            </w:tcBorders>
            <w:shd w:fill="F5F5F0" w:val="clear"/>
            <w:tcMar>
              <w:top w:type="dxa" w:w="60"/>
              <w:left w:type="dxa" w:w="100"/>
              <w:bottom w:type="dxa" w:w="60"/>
              <w:right w:type="dxa" w:w="100"/>
            </w:tcMar>
          </w:tcPr>
          <w:p>
            <w:r>
              <w:rPr>
                <w:rFonts w:ascii="Arial" w:cs="Arial" w:eastAsia="Arial" w:hAnsi="Arial"/>
                <w:b/>
                <w:bCs/>
                <w:color w:val="333333"/>
                <w:sz w:val="20"/>
                <w:szCs w:val="20"/>
              </w:rPr>
              <w:t xml:space="preserve">3.45</w:t>
            </w:r>
          </w:p>
        </w:tc>
        <w:tc>
          <w:tcPr>
            <w:tcW w:type="dxa" w:w="600"/>
            <w:tcBorders>
              <w:top w:val="single" w:color="CCCCCC" w:sz="1"/>
              <w:left w:val="single" w:color="CCCCCC" w:sz="1"/>
              <w:bottom w:val="single" w:color="CCCCCC" w:sz="1"/>
              <w:right w:val="single" w:color="CCCCCC" w:sz="1"/>
            </w:tcBorders>
            <w:shd w:fill="F5F5F0" w:val="clear"/>
            <w:tcMar>
              <w:top w:type="dxa" w:w="60"/>
              <w:left w:type="dxa" w:w="100"/>
              <w:bottom w:type="dxa" w:w="60"/>
              <w:right w:type="dxa" w:w="100"/>
            </w:tcMar>
          </w:tcPr>
          <w:p>
            <w:r>
              <w:rPr>
                <w:rFonts w:ascii="Arial" w:cs="Arial" w:eastAsia="Arial" w:hAnsi="Arial"/>
                <w:b/>
                <w:bCs/>
                <w:color w:val="333333"/>
                <w:sz w:val="20"/>
                <w:szCs w:val="20"/>
              </w:rPr>
              <w:t xml:space="preserve">2nd=</w:t>
            </w:r>
          </w:p>
        </w:tc>
      </w:tr>
    </w:tbl>
    <w:p>
      <w:pPr>
        <w:spacing w:after="200"/>
      </w:pPr>
      <w:r>
        <w:rPr>
          <w:rFonts w:ascii="Arial" w:cs="Arial" w:eastAsia="Arial" w:hAnsi="Arial"/>
          <w:sz w:val="22"/>
          <w:szCs w:val="22"/>
        </w:rPr>
        <w:t xml:space="preserve">The driving range with bar and restaurant format scores highest (4.00) and is the developer's stated choice. The format offers the best combination of lifestyle appeal, estate identity fit, and F&amp;B revenue potential. The bar and restaurant create a social hub that serves both residents and visitors, and the open-air range provides a visible amenity that differentiates the estate from all competitors except Apes Hill (which offers a full 18-hole course in a luxury segment).</w:t>
      </w:r>
    </w:p>
    <w:p>
      <w:pPr>
        <w:pStyle w:val="Heading1"/>
      </w:pPr>
      <w:r>
        <w:t xml:space="preserve">2. Demand and Catchment</w:t>
      </w:r>
    </w:p>
    <w:p>
      <w:pPr>
        <w:pStyle w:val="Heading2"/>
      </w:pPr>
      <w:r>
        <w:t xml:space="preserve">2.1 Primary Market: Estate Residents</w:t>
      </w:r>
    </w:p>
    <w:p>
      <w:pPr>
        <w:spacing w:after="200"/>
      </w:pPr>
      <w:r>
        <w:rPr>
          <w:rFonts w:ascii="Arial" w:cs="Arial" w:eastAsia="Arial" w:hAnsi="Arial"/>
          <w:sz w:val="22"/>
          <w:szCs w:val="22"/>
        </w:rPr>
        <w:t xml:space="preserve">355 households representing approximately 900-1,200 individuals. Assumed golf participation rate of 15-25% (in line with Caribbean leisure facility usage for planned communities). Regular users estimated at 50-90 households. This segment provides base-load demand and is the most reliable revenue source.</w:t>
      </w:r>
    </w:p>
    <w:p>
      <w:pPr>
        <w:pStyle w:val="Heading2"/>
      </w:pPr>
      <w:r>
        <w:t xml:space="preserve">2.2 Secondary Market: Local Community</w:t>
      </w:r>
    </w:p>
    <w:p>
      <w:pPr>
        <w:spacing w:after="200"/>
      </w:pPr>
      <w:r>
        <w:rPr>
          <w:rFonts w:ascii="Arial" w:cs="Arial" w:eastAsia="Arial" w:hAnsi="Arial"/>
          <w:sz w:val="22"/>
          <w:szCs w:val="22"/>
        </w:rPr>
        <w:t xml:space="preserve">Northern Barbados population within a 15-minute drive estimated at 25,000-35,000. Golf participation in Barbados is growing but remains niche. The bar and restaurant, however, serve a broader market. Estimated 20-40% of X Range revenue from non-resident local visitors, primarily drawn by the F&amp;B offer and the novelty of a branded entertainment golf facility.</w:t>
      </w:r>
    </w:p>
    <w:p>
      <w:pPr>
        <w:pStyle w:val="Heading2"/>
      </w:pPr>
      <w:r>
        <w:t xml:space="preserve">2.3 Tertiary Market: Tourists and Visitors</w:t>
      </w:r>
    </w:p>
    <w:p>
      <w:pPr>
        <w:spacing w:after="200"/>
      </w:pPr>
      <w:r>
        <w:rPr>
          <w:rFonts w:ascii="Arial" w:cs="Arial" w:eastAsia="Arial" w:hAnsi="Arial"/>
          <w:sz w:val="22"/>
          <w:szCs w:val="22"/>
        </w:rPr>
        <w:t xml:space="preserve">Barbados received approximately 503,000 stay-over visitors in January-August 2025 (Barbados Tourism Marketing Inc). Northern Barbados accounts for an estimated 15-20% of tourist accommodation. The X Range with bar and restaurant is positioned as a tourist attraction, particularly for cruise passengers visiting Speightstown and visitors to the Animal Flower Cave corridor. Estimated 10-20% of revenue from tourist visitors.</w:t>
      </w:r>
    </w:p>
    <w:p>
      <w:r>
        <w:br w:type="page"/>
      </w:r>
    </w:p>
    <w:p>
      <w:pPr>
        <w:pStyle w:val="Heading1"/>
      </w:pPr>
      <w:r>
        <w:t xml:space="preserve">3. Revenue Model</w:t>
      </w:r>
    </w:p>
    <w:p>
      <w:pPr>
        <w:spacing w:after="200"/>
      </w:pPr>
      <w:r>
        <w:rPr>
          <w:rFonts w:ascii="Arial" w:cs="Arial" w:eastAsia="Arial" w:hAnsi="Arial"/>
          <w:sz w:val="22"/>
          <w:szCs w:val="22"/>
        </w:rPr>
        <w:t xml:space="preserve">Revenue projections are based on comparable entertainment golf facilities in the Caribbean and stated assumptions. All figures represent annual revenue at stabilised operations (Year 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200"/>
        <w:gridCol w:w="1200"/>
        <w:gridCol w:w="1200"/>
        <w:gridCol w:w="4160"/>
      </w:tblGrid>
      <w:tr>
        <w:tc>
          <w:tcPr>
            <w:tcW w:type="dxa" w:w="1600"/>
            <w:tcBorders>
              <w:top w:val="single" w:color="CCCCCC" w:sz="1"/>
              <w:left w:val="single" w:color="CCCCCC" w:sz="1"/>
              <w:bottom w:val="single" w:color="CCCCCC" w:sz="1"/>
              <w:right w:val="single" w:color="CCCCCC" w:sz="1"/>
            </w:tcBorders>
            <w:shd w:fill="1B5E20" w:val="clear"/>
            <w:tcMar>
              <w:top w:type="dxa" w:w="60"/>
              <w:left w:type="dxa" w:w="100"/>
              <w:bottom w:type="dxa" w:w="60"/>
              <w:right w:type="dxa" w:w="100"/>
            </w:tcMar>
          </w:tcPr>
          <w:p>
            <w:r>
              <w:rPr>
                <w:rFonts w:ascii="Arial" w:cs="Arial" w:eastAsia="Arial" w:hAnsi="Arial"/>
                <w:b/>
                <w:bCs/>
                <w:color w:val="FFFFFF"/>
                <w:sz w:val="20"/>
                <w:szCs w:val="20"/>
              </w:rPr>
              <w:t xml:space="preserve">Revenue Stream</w:t>
            </w:r>
          </w:p>
        </w:tc>
        <w:tc>
          <w:tcPr>
            <w:tcW w:type="dxa" w:w="1200"/>
            <w:tcBorders>
              <w:top w:val="single" w:color="CCCCCC" w:sz="1"/>
              <w:left w:val="single" w:color="CCCCCC" w:sz="1"/>
              <w:bottom w:val="single" w:color="CCCCCC" w:sz="1"/>
              <w:right w:val="single" w:color="CCCCCC" w:sz="1"/>
            </w:tcBorders>
            <w:shd w:fill="1B5E20" w:val="clear"/>
            <w:tcMar>
              <w:top w:type="dxa" w:w="60"/>
              <w:left w:type="dxa" w:w="100"/>
              <w:bottom w:type="dxa" w:w="60"/>
              <w:right w:type="dxa" w:w="100"/>
            </w:tcMar>
          </w:tcPr>
          <w:p>
            <w:r>
              <w:rPr>
                <w:rFonts w:ascii="Arial" w:cs="Arial" w:eastAsia="Arial" w:hAnsi="Arial"/>
                <w:b/>
                <w:bCs/>
                <w:color w:val="FFFFFF"/>
                <w:sz w:val="20"/>
                <w:szCs w:val="20"/>
              </w:rPr>
              <w:t xml:space="preserve">Conservative</w:t>
            </w:r>
          </w:p>
        </w:tc>
        <w:tc>
          <w:tcPr>
            <w:tcW w:type="dxa" w:w="1200"/>
            <w:tcBorders>
              <w:top w:val="single" w:color="CCCCCC" w:sz="1"/>
              <w:left w:val="single" w:color="CCCCCC" w:sz="1"/>
              <w:bottom w:val="single" w:color="CCCCCC" w:sz="1"/>
              <w:right w:val="single" w:color="CCCCCC" w:sz="1"/>
            </w:tcBorders>
            <w:shd w:fill="1B5E20" w:val="clear"/>
            <w:tcMar>
              <w:top w:type="dxa" w:w="60"/>
              <w:left w:type="dxa" w:w="100"/>
              <w:bottom w:type="dxa" w:w="60"/>
              <w:right w:type="dxa" w:w="100"/>
            </w:tcMar>
          </w:tcPr>
          <w:p>
            <w:r>
              <w:rPr>
                <w:rFonts w:ascii="Arial" w:cs="Arial" w:eastAsia="Arial" w:hAnsi="Arial"/>
                <w:b/>
                <w:bCs/>
                <w:color w:val="FFFFFF"/>
                <w:sz w:val="20"/>
                <w:szCs w:val="20"/>
              </w:rPr>
              <w:t xml:space="preserve">Base Case</w:t>
            </w:r>
          </w:p>
        </w:tc>
        <w:tc>
          <w:tcPr>
            <w:tcW w:type="dxa" w:w="1200"/>
            <w:tcBorders>
              <w:top w:val="single" w:color="CCCCCC" w:sz="1"/>
              <w:left w:val="single" w:color="CCCCCC" w:sz="1"/>
              <w:bottom w:val="single" w:color="CCCCCC" w:sz="1"/>
              <w:right w:val="single" w:color="CCCCCC" w:sz="1"/>
            </w:tcBorders>
            <w:shd w:fill="1B5E20" w:val="clear"/>
            <w:tcMar>
              <w:top w:type="dxa" w:w="60"/>
              <w:left w:type="dxa" w:w="100"/>
              <w:bottom w:type="dxa" w:w="60"/>
              <w:right w:type="dxa" w:w="100"/>
            </w:tcMar>
          </w:tcPr>
          <w:p>
            <w:r>
              <w:rPr>
                <w:rFonts w:ascii="Arial" w:cs="Arial" w:eastAsia="Arial" w:hAnsi="Arial"/>
                <w:b/>
                <w:bCs/>
                <w:color w:val="FFFFFF"/>
                <w:sz w:val="20"/>
                <w:szCs w:val="20"/>
              </w:rPr>
              <w:t xml:space="preserve">Optimistic</w:t>
            </w:r>
          </w:p>
        </w:tc>
        <w:tc>
          <w:tcPr>
            <w:tcW w:type="dxa" w:w="4160"/>
            <w:tcBorders>
              <w:top w:val="single" w:color="CCCCCC" w:sz="1"/>
              <w:left w:val="single" w:color="CCCCCC" w:sz="1"/>
              <w:bottom w:val="single" w:color="CCCCCC" w:sz="1"/>
              <w:right w:val="single" w:color="CCCCCC" w:sz="1"/>
            </w:tcBorders>
            <w:shd w:fill="1B5E20" w:val="clear"/>
            <w:tcMar>
              <w:top w:type="dxa" w:w="60"/>
              <w:left w:type="dxa" w:w="100"/>
              <w:bottom w:type="dxa" w:w="60"/>
              <w:right w:type="dxa" w:w="100"/>
            </w:tcMar>
          </w:tcPr>
          <w:p>
            <w:r>
              <w:rPr>
                <w:rFonts w:ascii="Arial" w:cs="Arial" w:eastAsia="Arial" w:hAnsi="Arial"/>
                <w:b/>
                <w:bCs/>
                <w:color w:val="FFFFFF"/>
                <w:sz w:val="20"/>
                <w:szCs w:val="20"/>
              </w:rPr>
              <w:t xml:space="preserve">Assumptions</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Range Fees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BBD 600K</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BBD 900K</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BBD 1,200K</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15-25 bays, BBD 80-120/hr, 30-50% utilisation</w:t>
            </w:r>
          </w:p>
        </w:tc>
      </w:tr>
      <w:tr>
        <w:tc>
          <w:tcPr>
            <w:tcW w:type="dxa" w:w="1600"/>
            <w:tcBorders>
              <w:top w:val="single" w:color="CCCCCC" w:sz="1"/>
              <w:left w:val="single" w:color="CCCCCC" w:sz="1"/>
              <w:bottom w:val="single" w:color="CCCCCC" w:sz="1"/>
              <w:right w:val="single" w:color="CCCCCC" w:sz="1"/>
            </w:tcBorders>
            <w:shd w:fill="F5F5F0" w:val="clear"/>
            <w:tcMar>
              <w:top w:type="dxa" w:w="60"/>
              <w:left w:type="dxa" w:w="100"/>
              <w:bottom w:type="dxa" w:w="60"/>
              <w:right w:type="dxa" w:w="100"/>
            </w:tcMar>
          </w:tcPr>
          <w:p>
            <w:r>
              <w:rPr>
                <w:rFonts w:ascii="Arial" w:cs="Arial" w:eastAsia="Arial" w:hAnsi="Arial"/>
                <w:b/>
                <w:bCs/>
                <w:color w:val="333333"/>
                <w:sz w:val="20"/>
                <w:szCs w:val="20"/>
              </w:rPr>
              <w:t xml:space="preserve">F&amp;B (Bar/Restaurant)</w:t>
            </w:r>
          </w:p>
        </w:tc>
        <w:tc>
          <w:tcPr>
            <w:tcW w:type="dxa" w:w="1200"/>
            <w:tcBorders>
              <w:top w:val="single" w:color="CCCCCC" w:sz="1"/>
              <w:left w:val="single" w:color="CCCCCC" w:sz="1"/>
              <w:bottom w:val="single" w:color="CCCCCC" w:sz="1"/>
              <w:right w:val="single" w:color="CCCCCC" w:sz="1"/>
            </w:tcBorders>
            <w:shd w:fill="F5F5F0" w:val="clear"/>
            <w:tcMar>
              <w:top w:type="dxa" w:w="60"/>
              <w:left w:type="dxa" w:w="100"/>
              <w:bottom w:type="dxa" w:w="60"/>
              <w:right w:type="dxa" w:w="100"/>
            </w:tcMar>
          </w:tcPr>
          <w:p>
            <w:r>
              <w:rPr>
                <w:rFonts w:ascii="Arial" w:cs="Arial" w:eastAsia="Arial" w:hAnsi="Arial"/>
                <w:b w:val="false"/>
                <w:bCs w:val="false"/>
                <w:color w:val="333333"/>
                <w:sz w:val="20"/>
                <w:szCs w:val="20"/>
              </w:rPr>
              <w:t xml:space="preserve">BBD 800K</w:t>
            </w:r>
          </w:p>
        </w:tc>
        <w:tc>
          <w:tcPr>
            <w:tcW w:type="dxa" w:w="1200"/>
            <w:tcBorders>
              <w:top w:val="single" w:color="CCCCCC" w:sz="1"/>
              <w:left w:val="single" w:color="CCCCCC" w:sz="1"/>
              <w:bottom w:val="single" w:color="CCCCCC" w:sz="1"/>
              <w:right w:val="single" w:color="CCCCCC" w:sz="1"/>
            </w:tcBorders>
            <w:shd w:fill="F5F5F0" w:val="clear"/>
            <w:tcMar>
              <w:top w:type="dxa" w:w="60"/>
              <w:left w:type="dxa" w:w="100"/>
              <w:bottom w:type="dxa" w:w="60"/>
              <w:right w:type="dxa" w:w="100"/>
            </w:tcMar>
          </w:tcPr>
          <w:p>
            <w:r>
              <w:rPr>
                <w:rFonts w:ascii="Arial" w:cs="Arial" w:eastAsia="Arial" w:hAnsi="Arial"/>
                <w:b w:val="false"/>
                <w:bCs w:val="false"/>
                <w:color w:val="333333"/>
                <w:sz w:val="20"/>
                <w:szCs w:val="20"/>
              </w:rPr>
              <w:t xml:space="preserve">BBD 1,200K</w:t>
            </w:r>
          </w:p>
        </w:tc>
        <w:tc>
          <w:tcPr>
            <w:tcW w:type="dxa" w:w="1200"/>
            <w:tcBorders>
              <w:top w:val="single" w:color="CCCCCC" w:sz="1"/>
              <w:left w:val="single" w:color="CCCCCC" w:sz="1"/>
              <w:bottom w:val="single" w:color="CCCCCC" w:sz="1"/>
              <w:right w:val="single" w:color="CCCCCC" w:sz="1"/>
            </w:tcBorders>
            <w:shd w:fill="F5F5F0" w:val="clear"/>
            <w:tcMar>
              <w:top w:type="dxa" w:w="60"/>
              <w:left w:type="dxa" w:w="100"/>
              <w:bottom w:type="dxa" w:w="60"/>
              <w:right w:type="dxa" w:w="100"/>
            </w:tcMar>
          </w:tcPr>
          <w:p>
            <w:r>
              <w:rPr>
                <w:rFonts w:ascii="Arial" w:cs="Arial" w:eastAsia="Arial" w:hAnsi="Arial"/>
                <w:b w:val="false"/>
                <w:bCs w:val="false"/>
                <w:color w:val="333333"/>
                <w:sz w:val="20"/>
                <w:szCs w:val="20"/>
              </w:rPr>
              <w:t xml:space="preserve">BBD 1,600K</w:t>
            </w:r>
          </w:p>
        </w:tc>
        <w:tc>
          <w:tcPr>
            <w:tcW w:type="dxa" w:w="4160"/>
            <w:tcBorders>
              <w:top w:val="single" w:color="CCCCCC" w:sz="1"/>
              <w:left w:val="single" w:color="CCCCCC" w:sz="1"/>
              <w:bottom w:val="single" w:color="CCCCCC" w:sz="1"/>
              <w:right w:val="single" w:color="CCCCCC" w:sz="1"/>
            </w:tcBorders>
            <w:shd w:fill="F5F5F0" w:val="clear"/>
            <w:tcMar>
              <w:top w:type="dxa" w:w="60"/>
              <w:left w:type="dxa" w:w="100"/>
              <w:bottom w:type="dxa" w:w="60"/>
              <w:right w:type="dxa" w:w="100"/>
            </w:tcMar>
          </w:tcPr>
          <w:p>
            <w:r>
              <w:rPr>
                <w:rFonts w:ascii="Arial" w:cs="Arial" w:eastAsia="Arial" w:hAnsi="Arial"/>
                <w:b w:val="false"/>
                <w:bCs w:val="false"/>
                <w:color w:val="333333"/>
                <w:sz w:val="20"/>
                <w:szCs w:val="20"/>
              </w:rPr>
              <w:t xml:space="preserve">100-150 covers/day avg, BBD 40-60 avg spend</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Events and Functions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BBD 200K</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BBD 400K</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BBD 600K</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Corporate, weddings, tournaments. 40-80 events/yr</w:t>
            </w:r>
          </w:p>
        </w:tc>
      </w:tr>
      <w:tr>
        <w:tc>
          <w:tcPr>
            <w:tcW w:type="dxa" w:w="1600"/>
            <w:tcBorders>
              <w:top w:val="single" w:color="CCCCCC" w:sz="1"/>
              <w:left w:val="single" w:color="CCCCCC" w:sz="1"/>
              <w:bottom w:val="single" w:color="CCCCCC" w:sz="1"/>
              <w:right w:val="single" w:color="CCCCCC" w:sz="1"/>
            </w:tcBorders>
            <w:shd w:fill="F5F5F0" w:val="clear"/>
            <w:tcMar>
              <w:top w:type="dxa" w:w="60"/>
              <w:left w:type="dxa" w:w="100"/>
              <w:bottom w:type="dxa" w:w="60"/>
              <w:right w:type="dxa" w:w="100"/>
            </w:tcMar>
          </w:tcPr>
          <w:p>
            <w:r>
              <w:rPr>
                <w:rFonts w:ascii="Arial" w:cs="Arial" w:eastAsia="Arial" w:hAnsi="Arial"/>
                <w:b/>
                <w:bCs/>
                <w:color w:val="333333"/>
                <w:sz w:val="20"/>
                <w:szCs w:val="20"/>
              </w:rPr>
              <w:t xml:space="preserve">Memberships</w:t>
            </w:r>
          </w:p>
        </w:tc>
        <w:tc>
          <w:tcPr>
            <w:tcW w:type="dxa" w:w="1200"/>
            <w:tcBorders>
              <w:top w:val="single" w:color="CCCCCC" w:sz="1"/>
              <w:left w:val="single" w:color="CCCCCC" w:sz="1"/>
              <w:bottom w:val="single" w:color="CCCCCC" w:sz="1"/>
              <w:right w:val="single" w:color="CCCCCC" w:sz="1"/>
            </w:tcBorders>
            <w:shd w:fill="F5F5F0" w:val="clear"/>
            <w:tcMar>
              <w:top w:type="dxa" w:w="60"/>
              <w:left w:type="dxa" w:w="100"/>
              <w:bottom w:type="dxa" w:w="60"/>
              <w:right w:type="dxa" w:w="100"/>
            </w:tcMar>
          </w:tcPr>
          <w:p>
            <w:r>
              <w:rPr>
                <w:rFonts w:ascii="Arial" w:cs="Arial" w:eastAsia="Arial" w:hAnsi="Arial"/>
                <w:b w:val="false"/>
                <w:bCs w:val="false"/>
                <w:color w:val="333333"/>
                <w:sz w:val="20"/>
                <w:szCs w:val="20"/>
              </w:rPr>
              <w:t xml:space="preserve">BBD 150K</w:t>
            </w:r>
          </w:p>
        </w:tc>
        <w:tc>
          <w:tcPr>
            <w:tcW w:type="dxa" w:w="1200"/>
            <w:tcBorders>
              <w:top w:val="single" w:color="CCCCCC" w:sz="1"/>
              <w:left w:val="single" w:color="CCCCCC" w:sz="1"/>
              <w:bottom w:val="single" w:color="CCCCCC" w:sz="1"/>
              <w:right w:val="single" w:color="CCCCCC" w:sz="1"/>
            </w:tcBorders>
            <w:shd w:fill="F5F5F0" w:val="clear"/>
            <w:tcMar>
              <w:top w:type="dxa" w:w="60"/>
              <w:left w:type="dxa" w:w="100"/>
              <w:bottom w:type="dxa" w:w="60"/>
              <w:right w:type="dxa" w:w="100"/>
            </w:tcMar>
          </w:tcPr>
          <w:p>
            <w:r>
              <w:rPr>
                <w:rFonts w:ascii="Arial" w:cs="Arial" w:eastAsia="Arial" w:hAnsi="Arial"/>
                <w:b w:val="false"/>
                <w:bCs w:val="false"/>
                <w:color w:val="333333"/>
                <w:sz w:val="20"/>
                <w:szCs w:val="20"/>
              </w:rPr>
              <w:t xml:space="preserve">BBD 300K</w:t>
            </w:r>
          </w:p>
        </w:tc>
        <w:tc>
          <w:tcPr>
            <w:tcW w:type="dxa" w:w="1200"/>
            <w:tcBorders>
              <w:top w:val="single" w:color="CCCCCC" w:sz="1"/>
              <w:left w:val="single" w:color="CCCCCC" w:sz="1"/>
              <w:bottom w:val="single" w:color="CCCCCC" w:sz="1"/>
              <w:right w:val="single" w:color="CCCCCC" w:sz="1"/>
            </w:tcBorders>
            <w:shd w:fill="F5F5F0" w:val="clear"/>
            <w:tcMar>
              <w:top w:type="dxa" w:w="60"/>
              <w:left w:type="dxa" w:w="100"/>
              <w:bottom w:type="dxa" w:w="60"/>
              <w:right w:type="dxa" w:w="100"/>
            </w:tcMar>
          </w:tcPr>
          <w:p>
            <w:r>
              <w:rPr>
                <w:rFonts w:ascii="Arial" w:cs="Arial" w:eastAsia="Arial" w:hAnsi="Arial"/>
                <w:b w:val="false"/>
                <w:bCs w:val="false"/>
                <w:color w:val="333333"/>
                <w:sz w:val="20"/>
                <w:szCs w:val="20"/>
              </w:rPr>
              <w:t xml:space="preserve">BBD 500K</w:t>
            </w:r>
          </w:p>
        </w:tc>
        <w:tc>
          <w:tcPr>
            <w:tcW w:type="dxa" w:w="4160"/>
            <w:tcBorders>
              <w:top w:val="single" w:color="CCCCCC" w:sz="1"/>
              <w:left w:val="single" w:color="CCCCCC" w:sz="1"/>
              <w:bottom w:val="single" w:color="CCCCCC" w:sz="1"/>
              <w:right w:val="single" w:color="CCCCCC" w:sz="1"/>
            </w:tcBorders>
            <w:shd w:fill="F5F5F0" w:val="clear"/>
            <w:tcMar>
              <w:top w:type="dxa" w:w="60"/>
              <w:left w:type="dxa" w:w="100"/>
              <w:bottom w:type="dxa" w:w="60"/>
              <w:right w:type="dxa" w:w="100"/>
            </w:tcMar>
          </w:tcPr>
          <w:p>
            <w:r>
              <w:rPr>
                <w:rFonts w:ascii="Arial" w:cs="Arial" w:eastAsia="Arial" w:hAnsi="Arial"/>
                <w:b w:val="false"/>
                <w:bCs w:val="false"/>
                <w:color w:val="333333"/>
                <w:sz w:val="20"/>
                <w:szCs w:val="20"/>
              </w:rPr>
              <w:t xml:space="preserve">Estate residents + external. BBD 2,000-5,000/yr</w:t>
            </w:r>
          </w:p>
        </w:tc>
      </w:tr>
      <w:tr>
        <w:tc>
          <w:tcPr>
            <w:tcW w:type="dxa" w:w="16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bCs/>
                <w:color w:val="1B5E20"/>
                <w:sz w:val="20"/>
                <w:szCs w:val="20"/>
              </w:rPr>
              <w:t xml:space="preserve">TOTAL ANNUAL REVENUE</w:t>
            </w:r>
          </w:p>
        </w:tc>
        <w:tc>
          <w:tcPr>
            <w:tcW w:type="dxa" w:w="12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bCs/>
                <w:color w:val="1B5E20"/>
                <w:sz w:val="20"/>
                <w:szCs w:val="20"/>
              </w:rPr>
              <w:t xml:space="preserve">BBD 1,750K</w:t>
            </w:r>
          </w:p>
        </w:tc>
        <w:tc>
          <w:tcPr>
            <w:tcW w:type="dxa" w:w="12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bCs/>
                <w:color w:val="1B5E20"/>
                <w:sz w:val="20"/>
                <w:szCs w:val="20"/>
              </w:rPr>
              <w:t xml:space="preserve">BBD 2,800K</w:t>
            </w:r>
          </w:p>
        </w:tc>
        <w:tc>
          <w:tcPr>
            <w:tcW w:type="dxa" w:w="12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bCs/>
                <w:color w:val="1B5E20"/>
                <w:sz w:val="20"/>
                <w:szCs w:val="20"/>
              </w:rPr>
              <w:t xml:space="preserve">BBD 3,900K</w:t>
            </w:r>
          </w:p>
        </w:tc>
        <w:tc>
          <w:tcPr>
            <w:tcW w:type="dxa" w:w="41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bCs/>
                <w:color w:val="1B5E20"/>
                <w:sz w:val="20"/>
                <w:szCs w:val="20"/>
              </w:rPr>
              <w:t xml:space="preserve"/>
            </w:r>
          </w:p>
        </w:tc>
      </w:tr>
      <w:tr>
        <w:tc>
          <w:tcPr>
            <w:tcW w:type="dxa" w:w="16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bCs/>
                <w:color w:val="1B5E20"/>
                <w:sz w:val="20"/>
                <w:szCs w:val="20"/>
              </w:rPr>
              <w:t xml:space="preserve">USD Equivalent</w:t>
            </w:r>
          </w:p>
        </w:tc>
        <w:tc>
          <w:tcPr>
            <w:tcW w:type="dxa" w:w="12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bCs/>
                <w:color w:val="1B5E20"/>
                <w:sz w:val="20"/>
                <w:szCs w:val="20"/>
              </w:rPr>
              <w:t xml:space="preserve">USD 875K</w:t>
            </w:r>
          </w:p>
        </w:tc>
        <w:tc>
          <w:tcPr>
            <w:tcW w:type="dxa" w:w="12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bCs/>
                <w:color w:val="1B5E20"/>
                <w:sz w:val="20"/>
                <w:szCs w:val="20"/>
              </w:rPr>
              <w:t xml:space="preserve">USD 1,400K</w:t>
            </w:r>
          </w:p>
        </w:tc>
        <w:tc>
          <w:tcPr>
            <w:tcW w:type="dxa" w:w="12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bCs/>
                <w:color w:val="1B5E20"/>
                <w:sz w:val="20"/>
                <w:szCs w:val="20"/>
              </w:rPr>
              <w:t xml:space="preserve">USD 1,950K</w:t>
            </w:r>
          </w:p>
        </w:tc>
        <w:tc>
          <w:tcPr>
            <w:tcW w:type="dxa" w:w="41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bCs/>
                <w:color w:val="1B5E20"/>
                <w:sz w:val="20"/>
                <w:szCs w:val="20"/>
              </w:rPr>
              <w:t xml:space="preserve"/>
            </w:r>
          </w:p>
        </w:tc>
      </w:tr>
    </w:tbl>
    <w:p>
      <w:pPr>
        <w:spacing w:after="200"/>
      </w:pPr>
      <w:r>
        <w:rPr>
          <w:rFonts w:ascii="Arial" w:cs="Arial" w:eastAsia="Arial" w:hAnsi="Arial"/>
          <w:sz w:val="22"/>
          <w:szCs w:val="22"/>
        </w:rPr>
        <w:t xml:space="preserve">F&amp;B revenue is projected to be the largest single stream, consistent with entertainment golf industry benchmarks where food and beverage typically accounts for 40-50% of total revenue. The range fees are secondary; the driving range functions as a traffic driver for F&amp;B and events.</w:t>
      </w:r>
    </w:p>
    <w:p>
      <w:pPr>
        <w:pStyle w:val="Heading1"/>
      </w:pPr>
      <w:r>
        <w:t xml:space="preserve">4. Capital and Operating Cost Estimate</w:t>
      </w:r>
    </w:p>
    <w:p>
      <w:pPr>
        <w:pStyle w:val="Heading2"/>
      </w:pPr>
      <w:r>
        <w:t xml:space="preserve">4.1 Capital Expenditure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1400"/>
        <w:gridCol w:w="1400"/>
        <w:gridCol w:w="2960"/>
      </w:tblGrid>
      <w:tr>
        <w:tc>
          <w:tcPr>
            <w:tcW w:type="dxa" w:w="2200"/>
            <w:tcBorders>
              <w:top w:val="single" w:color="CCCCCC" w:sz="1"/>
              <w:left w:val="single" w:color="CCCCCC" w:sz="1"/>
              <w:bottom w:val="single" w:color="CCCCCC" w:sz="1"/>
              <w:right w:val="single" w:color="CCCCCC" w:sz="1"/>
            </w:tcBorders>
            <w:shd w:fill="1B5E20" w:val="clear"/>
            <w:tcMar>
              <w:top w:type="dxa" w:w="60"/>
              <w:left w:type="dxa" w:w="100"/>
              <w:bottom w:type="dxa" w:w="60"/>
              <w:right w:type="dxa" w:w="100"/>
            </w:tcMar>
          </w:tcPr>
          <w:p>
            <w:r>
              <w:rPr>
                <w:rFonts w:ascii="Arial" w:cs="Arial" w:eastAsia="Arial" w:hAnsi="Arial"/>
                <w:b/>
                <w:bCs/>
                <w:color w:val="FFFFFF"/>
                <w:sz w:val="20"/>
                <w:szCs w:val="20"/>
              </w:rPr>
              <w:t xml:space="preserve">Item</w:t>
            </w:r>
          </w:p>
        </w:tc>
        <w:tc>
          <w:tcPr>
            <w:tcW w:type="dxa" w:w="1400"/>
            <w:tcBorders>
              <w:top w:val="single" w:color="CCCCCC" w:sz="1"/>
              <w:left w:val="single" w:color="CCCCCC" w:sz="1"/>
              <w:bottom w:val="single" w:color="CCCCCC" w:sz="1"/>
              <w:right w:val="single" w:color="CCCCCC" w:sz="1"/>
            </w:tcBorders>
            <w:shd w:fill="1B5E20" w:val="clear"/>
            <w:tcMar>
              <w:top w:type="dxa" w:w="60"/>
              <w:left w:type="dxa" w:w="100"/>
              <w:bottom w:type="dxa" w:w="60"/>
              <w:right w:type="dxa" w:w="100"/>
            </w:tcMar>
          </w:tcPr>
          <w:p>
            <w:r>
              <w:rPr>
                <w:rFonts w:ascii="Arial" w:cs="Arial" w:eastAsia="Arial" w:hAnsi="Arial"/>
                <w:b/>
                <w:bCs/>
                <w:color w:val="FFFFFF"/>
                <w:sz w:val="20"/>
                <w:szCs w:val="20"/>
              </w:rPr>
              <w:t xml:space="preserve">Low Estimate BBD</w:t>
            </w:r>
          </w:p>
        </w:tc>
        <w:tc>
          <w:tcPr>
            <w:tcW w:type="dxa" w:w="1400"/>
            <w:tcBorders>
              <w:top w:val="single" w:color="CCCCCC" w:sz="1"/>
              <w:left w:val="single" w:color="CCCCCC" w:sz="1"/>
              <w:bottom w:val="single" w:color="CCCCCC" w:sz="1"/>
              <w:right w:val="single" w:color="CCCCCC" w:sz="1"/>
            </w:tcBorders>
            <w:shd w:fill="1B5E20" w:val="clear"/>
            <w:tcMar>
              <w:top w:type="dxa" w:w="60"/>
              <w:left w:type="dxa" w:w="100"/>
              <w:bottom w:type="dxa" w:w="60"/>
              <w:right w:type="dxa" w:w="100"/>
            </w:tcMar>
          </w:tcPr>
          <w:p>
            <w:r>
              <w:rPr>
                <w:rFonts w:ascii="Arial" w:cs="Arial" w:eastAsia="Arial" w:hAnsi="Arial"/>
                <w:b/>
                <w:bCs/>
                <w:color w:val="FFFFFF"/>
                <w:sz w:val="20"/>
                <w:szCs w:val="20"/>
              </w:rPr>
              <w:t xml:space="preserve">Mid Estimate BBD</w:t>
            </w:r>
          </w:p>
        </w:tc>
        <w:tc>
          <w:tcPr>
            <w:tcW w:type="dxa" w:w="1400"/>
            <w:tcBorders>
              <w:top w:val="single" w:color="CCCCCC" w:sz="1"/>
              <w:left w:val="single" w:color="CCCCCC" w:sz="1"/>
              <w:bottom w:val="single" w:color="CCCCCC" w:sz="1"/>
              <w:right w:val="single" w:color="CCCCCC" w:sz="1"/>
            </w:tcBorders>
            <w:shd w:fill="1B5E20" w:val="clear"/>
            <w:tcMar>
              <w:top w:type="dxa" w:w="60"/>
              <w:left w:type="dxa" w:w="100"/>
              <w:bottom w:type="dxa" w:w="60"/>
              <w:right w:type="dxa" w:w="100"/>
            </w:tcMar>
          </w:tcPr>
          <w:p>
            <w:r>
              <w:rPr>
                <w:rFonts w:ascii="Arial" w:cs="Arial" w:eastAsia="Arial" w:hAnsi="Arial"/>
                <w:b/>
                <w:bCs/>
                <w:color w:val="FFFFFF"/>
                <w:sz w:val="20"/>
                <w:szCs w:val="20"/>
              </w:rPr>
              <w:t xml:space="preserve">High Estimate BBD</w:t>
            </w:r>
          </w:p>
        </w:tc>
        <w:tc>
          <w:tcPr>
            <w:tcW w:type="dxa" w:w="2960"/>
            <w:tcBorders>
              <w:top w:val="single" w:color="CCCCCC" w:sz="1"/>
              <w:left w:val="single" w:color="CCCCCC" w:sz="1"/>
              <w:bottom w:val="single" w:color="CCCCCC" w:sz="1"/>
              <w:right w:val="single" w:color="CCCCCC" w:sz="1"/>
            </w:tcBorders>
            <w:shd w:fill="1B5E20" w:val="clear"/>
            <w:tcMar>
              <w:top w:type="dxa" w:w="60"/>
              <w:left w:type="dxa" w:w="100"/>
              <w:bottom w:type="dxa" w:w="60"/>
              <w:right w:type="dxa" w:w="100"/>
            </w:tcMar>
          </w:tcPr>
          <w:p>
            <w:r>
              <w:rPr>
                <w:rFonts w:ascii="Arial" w:cs="Arial" w:eastAsia="Arial" w:hAnsi="Arial"/>
                <w:b/>
                <w:bCs/>
                <w:color w:val="FFFFFF"/>
                <w:sz w:val="20"/>
                <w:szCs w:val="20"/>
              </w:rPr>
              <w:t xml:space="preserve">Basis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Site prep and earthworks</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400,000</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600,000</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800,000</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6-8 acres, grading, drainage</w:t>
            </w:r>
          </w:p>
        </w:tc>
      </w:tr>
      <w:tr>
        <w:tc>
          <w:tcPr>
            <w:tcW w:type="dxa" w:w="2200"/>
            <w:tcBorders>
              <w:top w:val="single" w:color="CCCCCC" w:sz="1"/>
              <w:left w:val="single" w:color="CCCCCC" w:sz="1"/>
              <w:bottom w:val="single" w:color="CCCCCC" w:sz="1"/>
              <w:right w:val="single" w:color="CCCCCC" w:sz="1"/>
            </w:tcBorders>
            <w:shd w:fill="F5F5F0" w:val="clear"/>
            <w:tcMar>
              <w:top w:type="dxa" w:w="60"/>
              <w:left w:type="dxa" w:w="100"/>
              <w:bottom w:type="dxa" w:w="60"/>
              <w:right w:type="dxa" w:w="100"/>
            </w:tcMar>
          </w:tcPr>
          <w:p>
            <w:r>
              <w:rPr>
                <w:rFonts w:ascii="Arial" w:cs="Arial" w:eastAsia="Arial" w:hAnsi="Arial"/>
                <w:b/>
                <w:bCs/>
                <w:color w:val="333333"/>
                <w:sz w:val="20"/>
                <w:szCs w:val="20"/>
              </w:rPr>
              <w:t xml:space="preserve">Range infrastructure</w:t>
            </w:r>
          </w:p>
        </w:tc>
        <w:tc>
          <w:tcPr>
            <w:tcW w:type="dxa" w:w="1400"/>
            <w:tcBorders>
              <w:top w:val="single" w:color="CCCCCC" w:sz="1"/>
              <w:left w:val="single" w:color="CCCCCC" w:sz="1"/>
              <w:bottom w:val="single" w:color="CCCCCC" w:sz="1"/>
              <w:right w:val="single" w:color="CCCCCC" w:sz="1"/>
            </w:tcBorders>
            <w:shd w:fill="F5F5F0" w:val="clear"/>
            <w:tcMar>
              <w:top w:type="dxa" w:w="60"/>
              <w:left w:type="dxa" w:w="100"/>
              <w:bottom w:type="dxa" w:w="60"/>
              <w:right w:type="dxa" w:w="100"/>
            </w:tcMar>
          </w:tcPr>
          <w:p>
            <w:r>
              <w:rPr>
                <w:rFonts w:ascii="Arial" w:cs="Arial" w:eastAsia="Arial" w:hAnsi="Arial"/>
                <w:b w:val="false"/>
                <w:bCs w:val="false"/>
                <w:color w:val="333333"/>
                <w:sz w:val="20"/>
                <w:szCs w:val="20"/>
              </w:rPr>
              <w:t xml:space="preserve">1,200,000</w:t>
            </w:r>
          </w:p>
        </w:tc>
        <w:tc>
          <w:tcPr>
            <w:tcW w:type="dxa" w:w="1400"/>
            <w:tcBorders>
              <w:top w:val="single" w:color="CCCCCC" w:sz="1"/>
              <w:left w:val="single" w:color="CCCCCC" w:sz="1"/>
              <w:bottom w:val="single" w:color="CCCCCC" w:sz="1"/>
              <w:right w:val="single" w:color="CCCCCC" w:sz="1"/>
            </w:tcBorders>
            <w:shd w:fill="F5F5F0" w:val="clear"/>
            <w:tcMar>
              <w:top w:type="dxa" w:w="60"/>
              <w:left w:type="dxa" w:w="100"/>
              <w:bottom w:type="dxa" w:w="60"/>
              <w:right w:type="dxa" w:w="100"/>
            </w:tcMar>
          </w:tcPr>
          <w:p>
            <w:r>
              <w:rPr>
                <w:rFonts w:ascii="Arial" w:cs="Arial" w:eastAsia="Arial" w:hAnsi="Arial"/>
                <w:b w:val="false"/>
                <w:bCs w:val="false"/>
                <w:color w:val="333333"/>
                <w:sz w:val="20"/>
                <w:szCs w:val="20"/>
              </w:rPr>
              <w:t xml:space="preserve">1,800,000</w:t>
            </w:r>
          </w:p>
        </w:tc>
        <w:tc>
          <w:tcPr>
            <w:tcW w:type="dxa" w:w="1400"/>
            <w:tcBorders>
              <w:top w:val="single" w:color="CCCCCC" w:sz="1"/>
              <w:left w:val="single" w:color="CCCCCC" w:sz="1"/>
              <w:bottom w:val="single" w:color="CCCCCC" w:sz="1"/>
              <w:right w:val="single" w:color="CCCCCC" w:sz="1"/>
            </w:tcBorders>
            <w:shd w:fill="F5F5F0" w:val="clear"/>
            <w:tcMar>
              <w:top w:type="dxa" w:w="60"/>
              <w:left w:type="dxa" w:w="100"/>
              <w:bottom w:type="dxa" w:w="60"/>
              <w:right w:type="dxa" w:w="100"/>
            </w:tcMar>
          </w:tcPr>
          <w:p>
            <w:r>
              <w:rPr>
                <w:rFonts w:ascii="Arial" w:cs="Arial" w:eastAsia="Arial" w:hAnsi="Arial"/>
                <w:b w:val="false"/>
                <w:bCs w:val="false"/>
                <w:color w:val="333333"/>
                <w:sz w:val="20"/>
                <w:szCs w:val="20"/>
              </w:rPr>
              <w:t xml:space="preserve">2,400,000</w:t>
            </w:r>
          </w:p>
        </w:tc>
        <w:tc>
          <w:tcPr>
            <w:tcW w:type="dxa" w:w="2960"/>
            <w:tcBorders>
              <w:top w:val="single" w:color="CCCCCC" w:sz="1"/>
              <w:left w:val="single" w:color="CCCCCC" w:sz="1"/>
              <w:bottom w:val="single" w:color="CCCCCC" w:sz="1"/>
              <w:right w:val="single" w:color="CCCCCC" w:sz="1"/>
            </w:tcBorders>
            <w:shd w:fill="F5F5F0" w:val="clear"/>
            <w:tcMar>
              <w:top w:type="dxa" w:w="60"/>
              <w:left w:type="dxa" w:w="100"/>
              <w:bottom w:type="dxa" w:w="60"/>
              <w:right w:type="dxa" w:w="100"/>
            </w:tcMar>
          </w:tcPr>
          <w:p>
            <w:r>
              <w:rPr>
                <w:rFonts w:ascii="Arial" w:cs="Arial" w:eastAsia="Arial" w:hAnsi="Arial"/>
                <w:b w:val="false"/>
                <w:bCs w:val="false"/>
                <w:color w:val="333333"/>
                <w:sz w:val="20"/>
                <w:szCs w:val="20"/>
              </w:rPr>
              <w:t xml:space="preserve">15-25 bays, targets, lighting, netting</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Bar/Restaurant building</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1,500,000</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2,200,000</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3,000,000</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3,000-5,000 sq ft, BCQS rates</w:t>
            </w:r>
          </w:p>
        </w:tc>
      </w:tr>
      <w:tr>
        <w:tc>
          <w:tcPr>
            <w:tcW w:type="dxa" w:w="2200"/>
            <w:tcBorders>
              <w:top w:val="single" w:color="CCCCCC" w:sz="1"/>
              <w:left w:val="single" w:color="CCCCCC" w:sz="1"/>
              <w:bottom w:val="single" w:color="CCCCCC" w:sz="1"/>
              <w:right w:val="single" w:color="CCCCCC" w:sz="1"/>
            </w:tcBorders>
            <w:shd w:fill="F5F5F0" w:val="clear"/>
            <w:tcMar>
              <w:top w:type="dxa" w:w="60"/>
              <w:left w:type="dxa" w:w="100"/>
              <w:bottom w:type="dxa" w:w="60"/>
              <w:right w:type="dxa" w:w="100"/>
            </w:tcMar>
          </w:tcPr>
          <w:p>
            <w:r>
              <w:rPr>
                <w:rFonts w:ascii="Arial" w:cs="Arial" w:eastAsia="Arial" w:hAnsi="Arial"/>
                <w:b/>
                <w:bCs/>
                <w:color w:val="333333"/>
                <w:sz w:val="20"/>
                <w:szCs w:val="20"/>
              </w:rPr>
              <w:t xml:space="preserve">Kitchen and F&amp;B equipment</w:t>
            </w:r>
          </w:p>
        </w:tc>
        <w:tc>
          <w:tcPr>
            <w:tcW w:type="dxa" w:w="1400"/>
            <w:tcBorders>
              <w:top w:val="single" w:color="CCCCCC" w:sz="1"/>
              <w:left w:val="single" w:color="CCCCCC" w:sz="1"/>
              <w:bottom w:val="single" w:color="CCCCCC" w:sz="1"/>
              <w:right w:val="single" w:color="CCCCCC" w:sz="1"/>
            </w:tcBorders>
            <w:shd w:fill="F5F5F0" w:val="clear"/>
            <w:tcMar>
              <w:top w:type="dxa" w:w="60"/>
              <w:left w:type="dxa" w:w="100"/>
              <w:bottom w:type="dxa" w:w="60"/>
              <w:right w:type="dxa" w:w="100"/>
            </w:tcMar>
          </w:tcPr>
          <w:p>
            <w:r>
              <w:rPr>
                <w:rFonts w:ascii="Arial" w:cs="Arial" w:eastAsia="Arial" w:hAnsi="Arial"/>
                <w:b w:val="false"/>
                <w:bCs w:val="false"/>
                <w:color w:val="333333"/>
                <w:sz w:val="20"/>
                <w:szCs w:val="20"/>
              </w:rPr>
              <w:t xml:space="preserve">400,000</w:t>
            </w:r>
          </w:p>
        </w:tc>
        <w:tc>
          <w:tcPr>
            <w:tcW w:type="dxa" w:w="1400"/>
            <w:tcBorders>
              <w:top w:val="single" w:color="CCCCCC" w:sz="1"/>
              <w:left w:val="single" w:color="CCCCCC" w:sz="1"/>
              <w:bottom w:val="single" w:color="CCCCCC" w:sz="1"/>
              <w:right w:val="single" w:color="CCCCCC" w:sz="1"/>
            </w:tcBorders>
            <w:shd w:fill="F5F5F0" w:val="clear"/>
            <w:tcMar>
              <w:top w:type="dxa" w:w="60"/>
              <w:left w:type="dxa" w:w="100"/>
              <w:bottom w:type="dxa" w:w="60"/>
              <w:right w:type="dxa" w:w="100"/>
            </w:tcMar>
          </w:tcPr>
          <w:p>
            <w:r>
              <w:rPr>
                <w:rFonts w:ascii="Arial" w:cs="Arial" w:eastAsia="Arial" w:hAnsi="Arial"/>
                <w:b w:val="false"/>
                <w:bCs w:val="false"/>
                <w:color w:val="333333"/>
                <w:sz w:val="20"/>
                <w:szCs w:val="20"/>
              </w:rPr>
              <w:t xml:space="preserve">600,000</w:t>
            </w:r>
          </w:p>
        </w:tc>
        <w:tc>
          <w:tcPr>
            <w:tcW w:type="dxa" w:w="1400"/>
            <w:tcBorders>
              <w:top w:val="single" w:color="CCCCCC" w:sz="1"/>
              <w:left w:val="single" w:color="CCCCCC" w:sz="1"/>
              <w:bottom w:val="single" w:color="CCCCCC" w:sz="1"/>
              <w:right w:val="single" w:color="CCCCCC" w:sz="1"/>
            </w:tcBorders>
            <w:shd w:fill="F5F5F0" w:val="clear"/>
            <w:tcMar>
              <w:top w:type="dxa" w:w="60"/>
              <w:left w:type="dxa" w:w="100"/>
              <w:bottom w:type="dxa" w:w="60"/>
              <w:right w:type="dxa" w:w="100"/>
            </w:tcMar>
          </w:tcPr>
          <w:p>
            <w:r>
              <w:rPr>
                <w:rFonts w:ascii="Arial" w:cs="Arial" w:eastAsia="Arial" w:hAnsi="Arial"/>
                <w:b w:val="false"/>
                <w:bCs w:val="false"/>
                <w:color w:val="333333"/>
                <w:sz w:val="20"/>
                <w:szCs w:val="20"/>
              </w:rPr>
              <w:t xml:space="preserve">800,000</w:t>
            </w:r>
          </w:p>
        </w:tc>
        <w:tc>
          <w:tcPr>
            <w:tcW w:type="dxa" w:w="2960"/>
            <w:tcBorders>
              <w:top w:val="single" w:color="CCCCCC" w:sz="1"/>
              <w:left w:val="single" w:color="CCCCCC" w:sz="1"/>
              <w:bottom w:val="single" w:color="CCCCCC" w:sz="1"/>
              <w:right w:val="single" w:color="CCCCCC" w:sz="1"/>
            </w:tcBorders>
            <w:shd w:fill="F5F5F0" w:val="clear"/>
            <w:tcMar>
              <w:top w:type="dxa" w:w="60"/>
              <w:left w:type="dxa" w:w="100"/>
              <w:bottom w:type="dxa" w:w="60"/>
              <w:right w:type="dxa" w:w="100"/>
            </w:tcMar>
          </w:tcPr>
          <w:p>
            <w:r>
              <w:rPr>
                <w:rFonts w:ascii="Arial" w:cs="Arial" w:eastAsia="Arial" w:hAnsi="Arial"/>
                <w:b w:val="false"/>
                <w:bCs w:val="false"/>
                <w:color w:val="333333"/>
                <w:sz w:val="20"/>
                <w:szCs w:val="20"/>
              </w:rPr>
              <w:t xml:space="preserve">Commercial kitchen fit-out</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Furniture, fixtures, signage</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300,000</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500,000</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700,000</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Brand standards (assumed)</w:t>
            </w:r>
          </w:p>
        </w:tc>
      </w:tr>
      <w:tr>
        <w:tc>
          <w:tcPr>
            <w:tcW w:type="dxa" w:w="2200"/>
            <w:tcBorders>
              <w:top w:val="single" w:color="CCCCCC" w:sz="1"/>
              <w:left w:val="single" w:color="CCCCCC" w:sz="1"/>
              <w:bottom w:val="single" w:color="CCCCCC" w:sz="1"/>
              <w:right w:val="single" w:color="CCCCCC" w:sz="1"/>
            </w:tcBorders>
            <w:shd w:fill="F5F5F0" w:val="clear"/>
            <w:tcMar>
              <w:top w:type="dxa" w:w="60"/>
              <w:left w:type="dxa" w:w="100"/>
              <w:bottom w:type="dxa" w:w="60"/>
              <w:right w:type="dxa" w:w="100"/>
            </w:tcMar>
          </w:tcPr>
          <w:p>
            <w:r>
              <w:rPr>
                <w:rFonts w:ascii="Arial" w:cs="Arial" w:eastAsia="Arial" w:hAnsi="Arial"/>
                <w:b/>
                <w:bCs/>
                <w:color w:val="333333"/>
                <w:sz w:val="20"/>
                <w:szCs w:val="20"/>
              </w:rPr>
              <w:t xml:space="preserve">Parking and landscaping</w:t>
            </w:r>
          </w:p>
        </w:tc>
        <w:tc>
          <w:tcPr>
            <w:tcW w:type="dxa" w:w="1400"/>
            <w:tcBorders>
              <w:top w:val="single" w:color="CCCCCC" w:sz="1"/>
              <w:left w:val="single" w:color="CCCCCC" w:sz="1"/>
              <w:bottom w:val="single" w:color="CCCCCC" w:sz="1"/>
              <w:right w:val="single" w:color="CCCCCC" w:sz="1"/>
            </w:tcBorders>
            <w:shd w:fill="F5F5F0" w:val="clear"/>
            <w:tcMar>
              <w:top w:type="dxa" w:w="60"/>
              <w:left w:type="dxa" w:w="100"/>
              <w:bottom w:type="dxa" w:w="60"/>
              <w:right w:type="dxa" w:w="100"/>
            </w:tcMar>
          </w:tcPr>
          <w:p>
            <w:r>
              <w:rPr>
                <w:rFonts w:ascii="Arial" w:cs="Arial" w:eastAsia="Arial" w:hAnsi="Arial"/>
                <w:b w:val="false"/>
                <w:bCs w:val="false"/>
                <w:color w:val="333333"/>
                <w:sz w:val="20"/>
                <w:szCs w:val="20"/>
              </w:rPr>
              <w:t xml:space="preserve">300,000</w:t>
            </w:r>
          </w:p>
        </w:tc>
        <w:tc>
          <w:tcPr>
            <w:tcW w:type="dxa" w:w="1400"/>
            <w:tcBorders>
              <w:top w:val="single" w:color="CCCCCC" w:sz="1"/>
              <w:left w:val="single" w:color="CCCCCC" w:sz="1"/>
              <w:bottom w:val="single" w:color="CCCCCC" w:sz="1"/>
              <w:right w:val="single" w:color="CCCCCC" w:sz="1"/>
            </w:tcBorders>
            <w:shd w:fill="F5F5F0" w:val="clear"/>
            <w:tcMar>
              <w:top w:type="dxa" w:w="60"/>
              <w:left w:type="dxa" w:w="100"/>
              <w:bottom w:type="dxa" w:w="60"/>
              <w:right w:type="dxa" w:w="100"/>
            </w:tcMar>
          </w:tcPr>
          <w:p>
            <w:r>
              <w:rPr>
                <w:rFonts w:ascii="Arial" w:cs="Arial" w:eastAsia="Arial" w:hAnsi="Arial"/>
                <w:b w:val="false"/>
                <w:bCs w:val="false"/>
                <w:color w:val="333333"/>
                <w:sz w:val="20"/>
                <w:szCs w:val="20"/>
              </w:rPr>
              <w:t xml:space="preserve">500,000</w:t>
            </w:r>
          </w:p>
        </w:tc>
        <w:tc>
          <w:tcPr>
            <w:tcW w:type="dxa" w:w="1400"/>
            <w:tcBorders>
              <w:top w:val="single" w:color="CCCCCC" w:sz="1"/>
              <w:left w:val="single" w:color="CCCCCC" w:sz="1"/>
              <w:bottom w:val="single" w:color="CCCCCC" w:sz="1"/>
              <w:right w:val="single" w:color="CCCCCC" w:sz="1"/>
            </w:tcBorders>
            <w:shd w:fill="F5F5F0" w:val="clear"/>
            <w:tcMar>
              <w:top w:type="dxa" w:w="60"/>
              <w:left w:type="dxa" w:w="100"/>
              <w:bottom w:type="dxa" w:w="60"/>
              <w:right w:type="dxa" w:w="100"/>
            </w:tcMar>
          </w:tcPr>
          <w:p>
            <w:r>
              <w:rPr>
                <w:rFonts w:ascii="Arial" w:cs="Arial" w:eastAsia="Arial" w:hAnsi="Arial"/>
                <w:b w:val="false"/>
                <w:bCs w:val="false"/>
                <w:color w:val="333333"/>
                <w:sz w:val="20"/>
                <w:szCs w:val="20"/>
              </w:rPr>
              <w:t xml:space="preserve">700,000</w:t>
            </w:r>
          </w:p>
        </w:tc>
        <w:tc>
          <w:tcPr>
            <w:tcW w:type="dxa" w:w="2960"/>
            <w:tcBorders>
              <w:top w:val="single" w:color="CCCCCC" w:sz="1"/>
              <w:left w:val="single" w:color="CCCCCC" w:sz="1"/>
              <w:bottom w:val="single" w:color="CCCCCC" w:sz="1"/>
              <w:right w:val="single" w:color="CCCCCC" w:sz="1"/>
            </w:tcBorders>
            <w:shd w:fill="F5F5F0" w:val="clear"/>
            <w:tcMar>
              <w:top w:type="dxa" w:w="60"/>
              <w:left w:type="dxa" w:w="100"/>
              <w:bottom w:type="dxa" w:w="60"/>
              <w:right w:type="dxa" w:w="100"/>
            </w:tcMar>
          </w:tcPr>
          <w:p>
            <w:r>
              <w:rPr>
                <w:rFonts w:ascii="Arial" w:cs="Arial" w:eastAsia="Arial" w:hAnsi="Arial"/>
                <w:b w:val="false"/>
                <w:bCs w:val="false"/>
                <w:color w:val="333333"/>
                <w:sz w:val="20"/>
                <w:szCs w:val="20"/>
              </w:rPr>
              <w:t xml:space="preserve">50-80 spaces, tropical landscaping</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Technology (POS, booking)</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100,000</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200,000</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300,000</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Range management system, POS</w:t>
            </w:r>
          </w:p>
        </w:tc>
      </w:tr>
      <w:tr>
        <w:tc>
          <w:tcPr>
            <w:tcW w:type="dxa" w:w="22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bCs/>
                <w:color w:val="1B5E20"/>
                <w:sz w:val="20"/>
                <w:szCs w:val="20"/>
              </w:rPr>
              <w:t xml:space="preserve">TOTAL CAPEX</w:t>
            </w:r>
          </w:p>
        </w:tc>
        <w:tc>
          <w:tcPr>
            <w:tcW w:type="dxa" w:w="14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bCs/>
                <w:color w:val="1B5E20"/>
                <w:sz w:val="20"/>
                <w:szCs w:val="20"/>
              </w:rPr>
              <w:t xml:space="preserve">4,200,000</w:t>
            </w:r>
          </w:p>
        </w:tc>
        <w:tc>
          <w:tcPr>
            <w:tcW w:type="dxa" w:w="14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bCs/>
                <w:color w:val="1B5E20"/>
                <w:sz w:val="20"/>
                <w:szCs w:val="20"/>
              </w:rPr>
              <w:t xml:space="preserve">6,400,000</w:t>
            </w:r>
          </w:p>
        </w:tc>
        <w:tc>
          <w:tcPr>
            <w:tcW w:type="dxa" w:w="14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bCs/>
                <w:color w:val="1B5E20"/>
                <w:sz w:val="20"/>
                <w:szCs w:val="20"/>
              </w:rPr>
              <w:t xml:space="preserve">8,700,000</w:t>
            </w:r>
          </w:p>
        </w:tc>
        <w:tc>
          <w:tcPr>
            <w:tcW w:type="dxa" w:w="29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bCs/>
                <w:color w:val="1B5E20"/>
                <w:sz w:val="20"/>
                <w:szCs w:val="20"/>
              </w:rPr>
              <w:t xml:space="preserve"/>
            </w:r>
          </w:p>
        </w:tc>
      </w:tr>
      <w:tr>
        <w:tc>
          <w:tcPr>
            <w:tcW w:type="dxa" w:w="22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bCs/>
                <w:color w:val="1B5E20"/>
                <w:sz w:val="20"/>
                <w:szCs w:val="20"/>
              </w:rPr>
              <w:t xml:space="preserve">USD Equivalent</w:t>
            </w:r>
          </w:p>
        </w:tc>
        <w:tc>
          <w:tcPr>
            <w:tcW w:type="dxa" w:w="14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bCs/>
                <w:color w:val="1B5E20"/>
                <w:sz w:val="20"/>
                <w:szCs w:val="20"/>
              </w:rPr>
              <w:t xml:space="preserve">2,100,000</w:t>
            </w:r>
          </w:p>
        </w:tc>
        <w:tc>
          <w:tcPr>
            <w:tcW w:type="dxa" w:w="14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bCs/>
                <w:color w:val="1B5E20"/>
                <w:sz w:val="20"/>
                <w:szCs w:val="20"/>
              </w:rPr>
              <w:t xml:space="preserve">3,200,000</w:t>
            </w:r>
          </w:p>
        </w:tc>
        <w:tc>
          <w:tcPr>
            <w:tcW w:type="dxa" w:w="14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bCs/>
                <w:color w:val="1B5E20"/>
                <w:sz w:val="20"/>
                <w:szCs w:val="20"/>
              </w:rPr>
              <w:t xml:space="preserve">4,350,000</w:t>
            </w:r>
          </w:p>
        </w:tc>
        <w:tc>
          <w:tcPr>
            <w:tcW w:type="dxa" w:w="29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bCs/>
                <w:color w:val="1B5E20"/>
                <w:sz w:val="20"/>
                <w:szCs w:val="20"/>
              </w:rPr>
              <w:t xml:space="preserve"/>
            </w:r>
          </w:p>
        </w:tc>
      </w:tr>
    </w:tbl>
    <w:p>
      <w:pPr>
        <w:shd w:fill="FFF8E1" w:val="clear"/>
        <w:spacing w:after="200"/>
      </w:pPr>
      <w:r>
        <w:rPr>
          <w:rFonts w:ascii="Arial" w:cs="Arial" w:eastAsia="Arial" w:hAnsi="Arial"/>
          <w:b/>
          <w:bCs/>
          <w:color w:val="B8860B"/>
          <w:sz w:val="22"/>
          <w:szCs w:val="22"/>
        </w:rPr>
        <w:t xml:space="preserve">FLAG: </w:t>
      </w:r>
      <w:r>
        <w:rPr>
          <w:rFonts w:ascii="Arial" w:cs="Arial" w:eastAsia="Arial" w:hAnsi="Arial"/>
          <w:sz w:val="22"/>
          <w:szCs w:val="22"/>
        </w:rPr>
        <w:t xml:space="preserve">All capex figures are stated assumptions. The developer has not provided X Range brand specifications, build requirements, or operator capex estimates. These figures must be replaced with verified data before inclusion in any investment document.</w:t>
      </w:r>
    </w:p>
    <w:p>
      <w:pPr>
        <w:pStyle w:val="Heading2"/>
      </w:pPr>
      <w:r>
        <w:t xml:space="preserve">4.2 Operating Costs</w:t>
      </w:r>
    </w:p>
    <w:p>
      <w:pPr>
        <w:pStyle w:val="ListParagraph"/>
        <w:numPr>
          <w:ilvl w:val="0"/>
          <w:numId w:val="2"/>
        </w:numPr>
        <w:spacing w:after="200"/>
      </w:pPr>
      <w:r>
        <w:rPr>
          <w:rFonts w:ascii="Arial" w:cs="Arial" w:eastAsia="Arial" w:hAnsi="Arial"/>
          <w:sz w:val="22"/>
          <w:szCs w:val="22"/>
        </w:rPr>
        <w:t xml:space="preserve">Staffing: 15-25 full-time equivalent employees (management, bar/restaurant, range operations, maintenance). Estimated annual payroll: BBD 1,200,000 to BBD 1,800,000.</w:t>
      </w:r>
    </w:p>
    <w:p>
      <w:pPr>
        <w:pStyle w:val="ListParagraph"/>
        <w:numPr>
          <w:ilvl w:val="0"/>
          <w:numId w:val="2"/>
        </w:numPr>
        <w:spacing w:after="200"/>
      </w:pPr>
      <w:r>
        <w:rPr>
          <w:rFonts w:ascii="Arial" w:cs="Arial" w:eastAsia="Arial" w:hAnsi="Arial"/>
          <w:sz w:val="22"/>
          <w:szCs w:val="22"/>
        </w:rPr>
        <w:t xml:space="preserve">Cost of goods (F&amp;B): 30-35% of F&amp;B revenue. Reduced by farm supply chain integration (see Section 6).</w:t>
      </w:r>
    </w:p>
    <w:p>
      <w:pPr>
        <w:pStyle w:val="ListParagraph"/>
        <w:numPr>
          <w:ilvl w:val="0"/>
          <w:numId w:val="2"/>
        </w:numPr>
        <w:spacing w:after="200"/>
      </w:pPr>
      <w:r>
        <w:rPr>
          <w:rFonts w:ascii="Arial" w:cs="Arial" w:eastAsia="Arial" w:hAnsi="Arial"/>
          <w:sz w:val="22"/>
          <w:szCs w:val="22"/>
        </w:rPr>
        <w:t xml:space="preserve">Maintenance: 3-5% of capex annually for range infrastructure, netting, targets, and building upkeep.</w:t>
      </w:r>
    </w:p>
    <w:p>
      <w:pPr>
        <w:pStyle w:val="ListParagraph"/>
        <w:numPr>
          <w:ilvl w:val="0"/>
          <w:numId w:val="2"/>
        </w:numPr>
        <w:spacing w:after="200"/>
      </w:pPr>
      <w:r>
        <w:rPr>
          <w:rFonts w:ascii="Arial" w:cs="Arial" w:eastAsia="Arial" w:hAnsi="Arial"/>
          <w:sz w:val="22"/>
          <w:szCs w:val="22"/>
        </w:rPr>
        <w:t xml:space="preserve">Utilities: partially offset by estate solar array. Estimated BBD 150,000-250,000 annually.</w:t>
      </w:r>
    </w:p>
    <w:p>
      <w:pPr>
        <w:pStyle w:val="ListParagraph"/>
        <w:numPr>
          <w:ilvl w:val="0"/>
          <w:numId w:val="2"/>
        </w:numPr>
        <w:spacing w:after="200"/>
      </w:pPr>
      <w:r>
        <w:rPr>
          <w:rFonts w:ascii="Arial" w:cs="Arial" w:eastAsia="Arial" w:hAnsi="Arial"/>
          <w:sz w:val="22"/>
          <w:szCs w:val="22"/>
        </w:rPr>
        <w:t xml:space="preserve">Brand/franchise fees: unknown. If X Range operates as a franchise, there may be royalty or brand fees. This is a material cost item that depends on the operator agreement.</w:t>
      </w:r>
    </w:p>
    <w:p>
      <w:pPr>
        <w:pStyle w:val="Heading1"/>
      </w:pPr>
      <w:r>
        <w:t xml:space="preserve">5. Synergy with Residential Pricing</w:t>
      </w:r>
    </w:p>
    <w:p>
      <w:pPr>
        <w:spacing w:after="200"/>
      </w:pPr>
      <w:r>
        <w:rPr>
          <w:rFonts w:ascii="Arial" w:cs="Arial" w:eastAsia="Arial" w:hAnsi="Arial"/>
          <w:sz w:val="22"/>
          <w:szCs w:val="22"/>
        </w:rPr>
        <w:t xml:space="preserve">Entertainment golf facilities in planned communities have been shown to support residential price premiums of 5-15% in comparable markets (US, UK, and Caribbean). The effect is strongest for units with direct views of or proximity to the facility.</w:t>
      </w:r>
    </w:p>
    <w:p>
      <w:pPr>
        <w:spacing w:after="200"/>
      </w:pPr>
      <w:r>
        <w:rPr>
          <w:rFonts w:ascii="Arial" w:cs="Arial" w:eastAsia="Arial" w:hAnsi="Arial"/>
          <w:sz w:val="22"/>
          <w:szCs w:val="22"/>
        </w:rPr>
        <w:t xml:space="preserve">If a 5% residential premium is attributable to the X Range, the total residential revenue uplift is approximately BBD 12.4M (USD 6.2M). Against a mid-estimate capex of BBD 6.4M (USD 3.2M), the synergy more than covers the capital cost, even before accounting for X Range operating revenue.</w:t>
      </w:r>
    </w:p>
    <w:p>
      <w:pPr>
        <w:spacing w:after="200"/>
      </w:pPr>
      <w:r>
        <w:rPr>
          <w:rFonts w:ascii="Arial" w:cs="Arial" w:eastAsia="Arial" w:hAnsi="Arial"/>
          <w:sz w:val="22"/>
          <w:szCs w:val="22"/>
        </w:rPr>
        <w:t xml:space="preserve">This synergy argument is the strongest justification for the X Range investment. Even if the facility operates at breakeven or modest loss in early years, the residential pricing support may deliver a positive return for the overall estate.</w:t>
      </w:r>
    </w:p>
    <w:p>
      <w:pPr>
        <w:pStyle w:val="Heading1"/>
      </w:pPr>
      <w:r>
        <w:t xml:space="preserve">6. Integration with Farm</w:t>
      </w:r>
    </w:p>
    <w:p>
      <w:pPr>
        <w:spacing w:after="200"/>
      </w:pPr>
      <w:r>
        <w:rPr>
          <w:rFonts w:ascii="Arial" w:cs="Arial" w:eastAsia="Arial" w:hAnsi="Arial"/>
          <w:sz w:val="22"/>
          <w:szCs w:val="22"/>
        </w:rPr>
        <w:t xml:space="preserve">The X Range restaurant is a natural customer for estate farm production. This integration delivers three benefits:</w:t>
      </w:r>
    </w:p>
    <w:p>
      <w:pPr>
        <w:pStyle w:val="ListParagraph"/>
        <w:numPr>
          <w:ilvl w:val="0"/>
          <w:numId w:val="2"/>
        </w:numPr>
        <w:spacing w:after="200"/>
      </w:pPr>
      <w:r>
        <w:rPr>
          <w:rFonts w:ascii="Arial" w:cs="Arial" w:eastAsia="Arial" w:hAnsi="Arial"/>
          <w:sz w:val="22"/>
          <w:szCs w:val="22"/>
        </w:rPr>
        <w:t xml:space="preserve">Cost reduction: farm supply at production cost reduces F&amp;B cost of goods from the industry standard 30-35% to an estimated 22-28%. On BBD 1.2M of F&amp;B revenue, this saves BBD 60,000-120,000 annually.</w:t>
      </w:r>
    </w:p>
    <w:p>
      <w:pPr>
        <w:pStyle w:val="ListParagraph"/>
        <w:numPr>
          <w:ilvl w:val="0"/>
          <w:numId w:val="2"/>
        </w:numPr>
        <w:spacing w:after="200"/>
      </w:pPr>
      <w:r>
        <w:rPr>
          <w:rFonts w:ascii="Arial" w:cs="Arial" w:eastAsia="Arial" w:hAnsi="Arial"/>
          <w:sz w:val="22"/>
          <w:szCs w:val="22"/>
        </w:rPr>
        <w:t xml:space="preserve">Brand authenticity: "farm-to-table" menu positioning reinforces the estate identity. Diners eat food grown on the estate. This is a marketable differentiator that no competitor can replicate.</w:t>
      </w:r>
    </w:p>
    <w:p>
      <w:pPr>
        <w:pStyle w:val="ListParagraph"/>
        <w:numPr>
          <w:ilvl w:val="0"/>
          <w:numId w:val="2"/>
        </w:numPr>
        <w:spacing w:after="200"/>
      </w:pPr>
      <w:r>
        <w:rPr>
          <w:rFonts w:ascii="Arial" w:cs="Arial" w:eastAsia="Arial" w:hAnsi="Arial"/>
          <w:sz w:val="22"/>
          <w:szCs w:val="22"/>
        </w:rPr>
        <w:t xml:space="preserve">Farm revenue stabilisation: a guaranteed internal customer (the X Range restaurant) provides baseline demand for farm output, reducing the farm's dependency on external sales.</w:t>
      </w:r>
    </w:p>
    <w:p>
      <w:pPr>
        <w:pBdr>
          <w:top w:val="single" w:color="B8860B" w:sz="4" w:space="4"/>
        </w:pBdr>
        <w:spacing w:before="300"/>
      </w:pPr>
      <w:r>
        <w:rPr>
          <w:rFonts w:ascii="Arial" w:cs="Arial" w:eastAsia="Arial" w:hAnsi="Arial"/>
          <w:i/>
          <w:iCs/>
          <w:color w:val="999999"/>
          <w:sz w:val="20"/>
          <w:szCs w:val="20"/>
        </w:rPr>
        <w:t xml:space="preserve">End of Document</w:t>
      </w:r>
    </w:p>
    <w:p>
      <w:r>
        <w:rPr>
          <w:rFonts w:ascii="Arial" w:cs="Arial" w:eastAsia="Arial" w:hAnsi="Arial"/>
          <w:color w:val="999999"/>
          <w:sz w:val="18"/>
          <w:szCs w:val="18"/>
        </w:rPr>
        <w:t xml:space="preserve">Mount Brevitor Estate Development  |  X Range Golf Brief v2.0  |  Infinity Developers Inc  |  Confidential</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X Range Golf Entertainment Brief | Infinity Developers Inc | 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8860B" w:sz="4" w:space="4"/>
      </w:pBdr>
      <w:tabs>
        <w:tab w:val="right" w:pos="9026"/>
      </w:tabs>
    </w:pPr>
    <w:r>
      <w:rPr>
        <w:rFonts w:ascii="Georgia" w:cs="Georgia" w:eastAsia="Georgia" w:hAnsi="Georgia"/>
        <w:b/>
        <w:bCs/>
        <w:color w:val="1B5E20"/>
        <w:sz w:val="16"/>
        <w:szCs w:val="16"/>
      </w:rPr>
      <w:t xml:space="preserve">Mount Brevitor Estate Development</w:t>
    </w:r>
    <w:r>
      <w:rPr>
        <w:rFonts w:ascii="Arial" w:cs="Arial" w:eastAsia="Arial" w:hAnsi="Arial"/>
        <w:color w:val="999999"/>
        <w:sz w:val="16"/>
        <w:szCs w:val="16"/>
      </w:rPr>
      <w:t xml:space="preserve">	v2.0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Georgia" w:cs="Georgia" w:eastAsia="Georgia" w:hAnsi="Georgia"/>
      <w:b/>
      <w:bCs/>
      <w:color w:val="1B5E20"/>
      <w:sz w:val="32"/>
      <w:szCs w:val="32"/>
    </w:rPr>
  </w:style>
  <w:style w:type="paragraph" w:styleId="Heading2">
    <w:name w:val="Heading 2"/>
    <w:basedOn w:val="Normal"/>
    <w:next w:val="Normal"/>
    <w:qFormat/>
    <w:pPr>
      <w:spacing w:after="160" w:before="280"/>
      <w:outlineLvl w:val="1"/>
    </w:pPr>
    <w:rPr>
      <w:rFonts w:ascii="Georgia" w:cs="Georgia" w:eastAsia="Georgia" w:hAnsi="Georgia"/>
      <w:b/>
      <w:bCs/>
      <w:color w:val="2E7D32"/>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2026-03-05T09:13:37.529Z</dcterms:created>
  <dcterms:modified xsi:type="dcterms:W3CDTF">2026-03-05T09:13:37.529Z</dcterms:modified>
</cp:coreProperties>
</file>

<file path=docProps/custom.xml><?xml version="1.0" encoding="utf-8"?>
<Properties xmlns="http://schemas.openxmlformats.org/officeDocument/2006/custom-properties" xmlns:vt="http://schemas.openxmlformats.org/officeDocument/2006/docPropsVTypes"/>
</file>