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A48" w:rsidRDefault="00526A48" w:rsidP="00526A48">
      <w:pPr>
        <w:pStyle w:val="Title"/>
      </w:pPr>
      <w:r>
        <w:t>Introduction</w:t>
      </w:r>
    </w:p>
    <w:p w:rsidR="00711990" w:rsidRDefault="00711990" w:rsidP="00526A48"/>
    <w:p w:rsidR="00711990" w:rsidRDefault="00711990" w:rsidP="00526A48">
      <w:r>
        <w:t>This short manual is intended to provide the basic mechanics of the automation framework developed by Randy Hildebrand and the VETSNET Automation Team for the GUI-based applications for VETSNET, namely FAS, SHARE, and AWARDS.  Looking forward to the future, some consideration is also given to how this framework could be used for web-based implementations of these programs.</w:t>
      </w:r>
    </w:p>
    <w:p w:rsidR="00711990" w:rsidRDefault="00711990" w:rsidP="00526A48">
      <w:r>
        <w:t xml:space="preserve">The primary programs to be used include Rational Functional Tester, various adapters for </w:t>
      </w:r>
      <w:r w:rsidR="008E6D86">
        <w:t>Rational Functional Tester (RFT), and Rational Quality Manager (RQM).  RFT is the VA-approved program for automation.  The Java version of RFT is the one that will be used throughout.  Depending on needs, some Windows batch programming and UNIX shell programming have also been used in conjunction with RFT and/or RQM.</w:t>
      </w:r>
    </w:p>
    <w:p w:rsidR="008E6D86" w:rsidRDefault="008E6D86" w:rsidP="00526A48">
      <w:r>
        <w:t>Since Java is primarily an object-oriented (OO) programing language, an OO approach has been utilized in the development of the framework, although more functional aspects of the language have been introduced with Java 8.</w:t>
      </w:r>
    </w:p>
    <w:p w:rsidR="008E6D86" w:rsidRDefault="008E6D86" w:rsidP="00526A48">
      <w:r>
        <w:t xml:space="preserve">The framework has primarily used IBM’s implementation of the </w:t>
      </w:r>
      <w:r w:rsidR="00FF649F">
        <w:t xml:space="preserve">Java language.  Using a Java-only approach frequently is not able to correctly identify objects and/or is significantly slower than the framework approach used herein.  </w:t>
      </w:r>
    </w:p>
    <w:p w:rsidR="008E6D86" w:rsidRDefault="00FF649F" w:rsidP="00526A48">
      <w:r>
        <w:t>RFT approaches the applications much as an end user.  The framework includes all the individual clicks, shifting of cursor focus, and filling in of fields that a typical end user would do.</w:t>
      </w:r>
    </w:p>
    <w:p w:rsidR="00501E2A" w:rsidRDefault="00501E2A" w:rsidP="00526A48">
      <w:r>
        <w:t>We will primarily be using the Functional Test (default) perspective, except for the Interface module.</w:t>
      </w:r>
    </w:p>
    <w:p w:rsidR="00526A48" w:rsidRDefault="00526A48" w:rsidP="00526A48">
      <w:pPr>
        <w:rPr>
          <w:rFonts w:asciiTheme="majorHAnsi" w:eastAsiaTheme="majorEastAsia" w:hAnsiTheme="majorHAnsi" w:cstheme="majorBidi"/>
          <w:spacing w:val="-10"/>
          <w:kern w:val="28"/>
          <w:sz w:val="56"/>
          <w:szCs w:val="56"/>
        </w:rPr>
      </w:pPr>
      <w:r>
        <w:br w:type="page"/>
      </w:r>
    </w:p>
    <w:p w:rsidR="00E37BBA" w:rsidRDefault="00526A48" w:rsidP="00526A48">
      <w:pPr>
        <w:pStyle w:val="Title"/>
      </w:pPr>
      <w:r>
        <w:lastRenderedPageBreak/>
        <w:t>Objects</w:t>
      </w:r>
    </w:p>
    <w:p w:rsidR="00526A48" w:rsidRDefault="00526A48" w:rsidP="00526A48">
      <w:pPr>
        <w:pStyle w:val="Heading1"/>
      </w:pPr>
      <w:r>
        <w:t>RFT Objects vs. VB6 Objects</w:t>
      </w:r>
    </w:p>
    <w:p w:rsidR="00FA464F" w:rsidRDefault="00FF649F" w:rsidP="00526A48">
      <w:r>
        <w:t>The VETSNET applications have been developed using VB6</w:t>
      </w:r>
      <w:r w:rsidR="00FA464F">
        <w:t>.  RFT interprets these objects in its own terms.  The framework explicitly converts these VB6 objects to RFT objects so that it can deal with them.  An individual object library is developed for each RTC/RM story to reduce confusion between similarly named objects.  A conversion library appears below.</w:t>
      </w:r>
    </w:p>
    <w:tbl>
      <w:tblPr>
        <w:tblStyle w:val="TableGrid"/>
        <w:tblW w:w="9918" w:type="dxa"/>
        <w:tblLook w:val="04A0" w:firstRow="1" w:lastRow="0" w:firstColumn="1" w:lastColumn="0" w:noHBand="0" w:noVBand="1"/>
      </w:tblPr>
      <w:tblGrid>
        <w:gridCol w:w="2846"/>
        <w:gridCol w:w="3221"/>
        <w:gridCol w:w="6486"/>
      </w:tblGrid>
      <w:tr w:rsidR="00B909B4" w:rsidTr="00BB281E">
        <w:tc>
          <w:tcPr>
            <w:tcW w:w="2440" w:type="dxa"/>
          </w:tcPr>
          <w:p w:rsidR="00B909B4" w:rsidRDefault="00B909B4" w:rsidP="00526A48">
            <w:r>
              <w:t>VB6 Object</w:t>
            </w:r>
          </w:p>
        </w:tc>
        <w:tc>
          <w:tcPr>
            <w:tcW w:w="1617" w:type="dxa"/>
          </w:tcPr>
          <w:p w:rsidR="00B909B4" w:rsidRDefault="00B909B4" w:rsidP="00526A48">
            <w:r>
              <w:t>RFT Object</w:t>
            </w:r>
          </w:p>
        </w:tc>
        <w:tc>
          <w:tcPr>
            <w:tcW w:w="5861" w:type="dxa"/>
          </w:tcPr>
          <w:p w:rsidR="00B909B4" w:rsidRDefault="00B909B4" w:rsidP="00526A48">
            <w:r>
              <w:t>Appearance</w:t>
            </w:r>
          </w:p>
        </w:tc>
      </w:tr>
      <w:tr w:rsidR="00B909B4" w:rsidTr="00BB281E">
        <w:tc>
          <w:tcPr>
            <w:tcW w:w="2440" w:type="dxa"/>
          </w:tcPr>
          <w:p w:rsidR="00B909B4" w:rsidRDefault="007840D5" w:rsidP="00526A48">
            <w:r>
              <w:t>ThunderRT6TextBox</w:t>
            </w:r>
          </w:p>
        </w:tc>
        <w:tc>
          <w:tcPr>
            <w:tcW w:w="1617" w:type="dxa"/>
          </w:tcPr>
          <w:p w:rsidR="00B909B4" w:rsidRDefault="00B909B4" w:rsidP="00526A48">
            <w:proofErr w:type="spellStart"/>
            <w:r>
              <w:t>TextGuiTestObject</w:t>
            </w:r>
            <w:proofErr w:type="spellEnd"/>
          </w:p>
        </w:tc>
        <w:tc>
          <w:tcPr>
            <w:tcW w:w="5861" w:type="dxa"/>
          </w:tcPr>
          <w:p w:rsidR="00B909B4" w:rsidRDefault="00B909B4" w:rsidP="00526A48">
            <w:r>
              <w:rPr>
                <w:noProof/>
              </w:rPr>
              <w:drawing>
                <wp:inline distT="0" distB="0" distL="0" distR="0" wp14:anchorId="33598D9A" wp14:editId="62BC43F4">
                  <wp:extent cx="1171575" cy="25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71575" cy="257175"/>
                          </a:xfrm>
                          <a:prstGeom prst="rect">
                            <a:avLst/>
                          </a:prstGeom>
                        </pic:spPr>
                      </pic:pic>
                    </a:graphicData>
                  </a:graphic>
                </wp:inline>
              </w:drawing>
            </w:r>
          </w:p>
        </w:tc>
      </w:tr>
      <w:tr w:rsidR="00B909B4" w:rsidTr="00BB281E">
        <w:tc>
          <w:tcPr>
            <w:tcW w:w="2440" w:type="dxa"/>
          </w:tcPr>
          <w:p w:rsidR="00B909B4" w:rsidRDefault="00BB281E" w:rsidP="00526A48">
            <w:r>
              <w:t>ThunderRT6CommandButton</w:t>
            </w:r>
          </w:p>
        </w:tc>
        <w:tc>
          <w:tcPr>
            <w:tcW w:w="1617" w:type="dxa"/>
          </w:tcPr>
          <w:p w:rsidR="00B909B4" w:rsidRDefault="00BB281E" w:rsidP="00526A48">
            <w:proofErr w:type="spellStart"/>
            <w:r>
              <w:t>GuiTestObject</w:t>
            </w:r>
            <w:proofErr w:type="spellEnd"/>
          </w:p>
        </w:tc>
        <w:tc>
          <w:tcPr>
            <w:tcW w:w="5861" w:type="dxa"/>
          </w:tcPr>
          <w:p w:rsidR="00B909B4" w:rsidRDefault="00BB281E" w:rsidP="00526A48">
            <w:r>
              <w:rPr>
                <w:noProof/>
              </w:rPr>
              <w:drawing>
                <wp:inline distT="0" distB="0" distL="0" distR="0" wp14:anchorId="708CEC1C" wp14:editId="6E5EC0AB">
                  <wp:extent cx="771525" cy="30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1525" cy="304800"/>
                          </a:xfrm>
                          <a:prstGeom prst="rect">
                            <a:avLst/>
                          </a:prstGeom>
                        </pic:spPr>
                      </pic:pic>
                    </a:graphicData>
                  </a:graphic>
                </wp:inline>
              </w:drawing>
            </w:r>
          </w:p>
        </w:tc>
      </w:tr>
      <w:tr w:rsidR="00B909B4" w:rsidTr="00BB281E">
        <w:tc>
          <w:tcPr>
            <w:tcW w:w="2440" w:type="dxa"/>
          </w:tcPr>
          <w:p w:rsidR="00B909B4" w:rsidRDefault="00BB281E" w:rsidP="00526A48">
            <w:r>
              <w:t>TreeView20WndClass</w:t>
            </w:r>
          </w:p>
        </w:tc>
        <w:tc>
          <w:tcPr>
            <w:tcW w:w="1617" w:type="dxa"/>
          </w:tcPr>
          <w:p w:rsidR="00B909B4" w:rsidRDefault="00BB281E" w:rsidP="00526A48">
            <w:proofErr w:type="spellStart"/>
            <w:r>
              <w:t>GuiSubitemTestObject</w:t>
            </w:r>
            <w:proofErr w:type="spellEnd"/>
          </w:p>
        </w:tc>
        <w:tc>
          <w:tcPr>
            <w:tcW w:w="5861" w:type="dxa"/>
          </w:tcPr>
          <w:p w:rsidR="00B909B4" w:rsidRDefault="00BB281E" w:rsidP="00526A48">
            <w:r>
              <w:rPr>
                <w:noProof/>
              </w:rPr>
              <w:drawing>
                <wp:inline distT="0" distB="0" distL="0" distR="0" wp14:anchorId="7D5A6C03" wp14:editId="2E7D10CB">
                  <wp:extent cx="398145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2781300"/>
                          </a:xfrm>
                          <a:prstGeom prst="rect">
                            <a:avLst/>
                          </a:prstGeom>
                        </pic:spPr>
                      </pic:pic>
                    </a:graphicData>
                  </a:graphic>
                </wp:inline>
              </w:drawing>
            </w:r>
          </w:p>
        </w:tc>
      </w:tr>
      <w:tr w:rsidR="00B909B4" w:rsidTr="00BB281E">
        <w:tc>
          <w:tcPr>
            <w:tcW w:w="2440" w:type="dxa"/>
          </w:tcPr>
          <w:p w:rsidR="00B909B4" w:rsidRDefault="00BB281E" w:rsidP="00BB281E">
            <w:r>
              <w:t>ThunderRT6ComboBox</w:t>
            </w:r>
          </w:p>
        </w:tc>
        <w:tc>
          <w:tcPr>
            <w:tcW w:w="1617" w:type="dxa"/>
          </w:tcPr>
          <w:p w:rsidR="00B909B4" w:rsidRDefault="00BB281E" w:rsidP="00526A48">
            <w:proofErr w:type="spellStart"/>
            <w:r>
              <w:t>TextSelectGuiSubitemTestObject</w:t>
            </w:r>
            <w:proofErr w:type="spellEnd"/>
          </w:p>
        </w:tc>
        <w:tc>
          <w:tcPr>
            <w:tcW w:w="5861" w:type="dxa"/>
          </w:tcPr>
          <w:p w:rsidR="00B909B4" w:rsidRDefault="009E5F4A" w:rsidP="00526A48">
            <w:r>
              <w:rPr>
                <w:noProof/>
              </w:rPr>
              <w:drawing>
                <wp:inline distT="0" distB="0" distL="0" distR="0" wp14:anchorId="1A1E6325" wp14:editId="7583F831">
                  <wp:extent cx="196215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2150" cy="266700"/>
                          </a:xfrm>
                          <a:prstGeom prst="rect">
                            <a:avLst/>
                          </a:prstGeom>
                        </pic:spPr>
                      </pic:pic>
                    </a:graphicData>
                  </a:graphic>
                </wp:inline>
              </w:drawing>
            </w:r>
          </w:p>
        </w:tc>
      </w:tr>
      <w:tr w:rsidR="00B909B4" w:rsidTr="00BB281E">
        <w:tc>
          <w:tcPr>
            <w:tcW w:w="2440" w:type="dxa"/>
          </w:tcPr>
          <w:p w:rsidR="00B909B4" w:rsidRDefault="00BB281E" w:rsidP="00526A48">
            <w:r>
              <w:t>ThunderRT6OptionButton</w:t>
            </w:r>
          </w:p>
        </w:tc>
        <w:tc>
          <w:tcPr>
            <w:tcW w:w="1617" w:type="dxa"/>
          </w:tcPr>
          <w:p w:rsidR="00B909B4" w:rsidRDefault="00BB281E" w:rsidP="00526A48">
            <w:proofErr w:type="spellStart"/>
            <w:r>
              <w:t>ToggleGUITestObject</w:t>
            </w:r>
            <w:proofErr w:type="spellEnd"/>
          </w:p>
        </w:tc>
        <w:tc>
          <w:tcPr>
            <w:tcW w:w="5861" w:type="dxa"/>
          </w:tcPr>
          <w:p w:rsidR="00B909B4" w:rsidRDefault="009E5F4A" w:rsidP="00526A48">
            <w:r>
              <w:rPr>
                <w:noProof/>
              </w:rPr>
              <w:drawing>
                <wp:inline distT="0" distB="0" distL="0" distR="0" wp14:anchorId="63FCEE8A" wp14:editId="6566184C">
                  <wp:extent cx="190500" cy="20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 cy="200025"/>
                          </a:xfrm>
                          <a:prstGeom prst="rect">
                            <a:avLst/>
                          </a:prstGeom>
                        </pic:spPr>
                      </pic:pic>
                    </a:graphicData>
                  </a:graphic>
                </wp:inline>
              </w:drawing>
            </w:r>
          </w:p>
        </w:tc>
      </w:tr>
      <w:tr w:rsidR="00B909B4" w:rsidTr="00BB281E">
        <w:tc>
          <w:tcPr>
            <w:tcW w:w="2440" w:type="dxa"/>
          </w:tcPr>
          <w:p w:rsidR="00B909B4" w:rsidRDefault="00F92751" w:rsidP="00526A48">
            <w:r>
              <w:t>ThunderRT6CheckBox</w:t>
            </w:r>
          </w:p>
        </w:tc>
        <w:tc>
          <w:tcPr>
            <w:tcW w:w="1617" w:type="dxa"/>
          </w:tcPr>
          <w:p w:rsidR="00B909B4" w:rsidRDefault="00577D18" w:rsidP="00526A48">
            <w:proofErr w:type="spellStart"/>
            <w:r>
              <w:t>GuiTestObject</w:t>
            </w:r>
            <w:proofErr w:type="spellEnd"/>
          </w:p>
        </w:tc>
        <w:tc>
          <w:tcPr>
            <w:tcW w:w="5861" w:type="dxa"/>
          </w:tcPr>
          <w:p w:rsidR="00B909B4" w:rsidRDefault="009E5F4A" w:rsidP="00526A48">
            <w:r>
              <w:rPr>
                <w:noProof/>
              </w:rPr>
              <w:drawing>
                <wp:inline distT="0" distB="0" distL="0" distR="0" wp14:anchorId="3E6D069B" wp14:editId="1DEFDB07">
                  <wp:extent cx="119062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0625" cy="295275"/>
                          </a:xfrm>
                          <a:prstGeom prst="rect">
                            <a:avLst/>
                          </a:prstGeom>
                        </pic:spPr>
                      </pic:pic>
                    </a:graphicData>
                  </a:graphic>
                </wp:inline>
              </w:drawing>
            </w:r>
          </w:p>
        </w:tc>
      </w:tr>
      <w:tr w:rsidR="00B909B4" w:rsidTr="00BB281E">
        <w:tc>
          <w:tcPr>
            <w:tcW w:w="2440" w:type="dxa"/>
          </w:tcPr>
          <w:p w:rsidR="00B909B4" w:rsidRDefault="00577D18" w:rsidP="00526A48">
            <w:r>
              <w:t>ThunderRT6ListBox</w:t>
            </w:r>
          </w:p>
        </w:tc>
        <w:tc>
          <w:tcPr>
            <w:tcW w:w="1617" w:type="dxa"/>
          </w:tcPr>
          <w:p w:rsidR="00B909B4" w:rsidRDefault="00577D18" w:rsidP="00526A48">
            <w:proofErr w:type="spellStart"/>
            <w:r>
              <w:t>SelectScrollGuiSubitemtestObject</w:t>
            </w:r>
            <w:proofErr w:type="spellEnd"/>
          </w:p>
        </w:tc>
        <w:tc>
          <w:tcPr>
            <w:tcW w:w="5861" w:type="dxa"/>
          </w:tcPr>
          <w:p w:rsidR="00B909B4" w:rsidRDefault="00B909B4" w:rsidP="00526A48"/>
        </w:tc>
      </w:tr>
    </w:tbl>
    <w:p w:rsidR="00577D18" w:rsidRDefault="00577D18" w:rsidP="00526A48"/>
    <w:p w:rsidR="00577D18" w:rsidRDefault="00577D18" w:rsidP="00526A48">
      <w:r>
        <w:t>Example:  if the user story stated to click the clear button, the way to describe that in an RFT library would be:</w:t>
      </w:r>
    </w:p>
    <w:p w:rsidR="00577D18" w:rsidRDefault="00577D18" w:rsidP="00526A48">
      <w:r>
        <w:t xml:space="preserve">public </w:t>
      </w:r>
      <w:proofErr w:type="spellStart"/>
      <w:r>
        <w:t>GuiTestObject</w:t>
      </w:r>
      <w:proofErr w:type="spellEnd"/>
      <w:r>
        <w:t xml:space="preserve"> </w:t>
      </w:r>
      <w:proofErr w:type="gramStart"/>
      <w:r>
        <w:t>clear(</w:t>
      </w:r>
      <w:proofErr w:type="gramEnd"/>
      <w:r>
        <w:t>){</w:t>
      </w:r>
    </w:p>
    <w:p w:rsidR="00577D18" w:rsidRDefault="00577D18" w:rsidP="00526A48">
      <w:r>
        <w:tab/>
      </w:r>
      <w:proofErr w:type="spellStart"/>
      <w:r>
        <w:t>TestObject</w:t>
      </w:r>
      <w:proofErr w:type="spellEnd"/>
      <w:r>
        <w:t xml:space="preserve"> to=</w:t>
      </w:r>
      <w:proofErr w:type="spellStart"/>
      <w:r>
        <w:t>clearwindow</w:t>
      </w:r>
      <w:proofErr w:type="spellEnd"/>
      <w:r>
        <w:t>(</w:t>
      </w:r>
      <w:proofErr w:type="gramStart"/>
      <w:r>
        <w:t>).find</w:t>
      </w:r>
      <w:proofErr w:type="gramEnd"/>
      <w:r>
        <w:t>();</w:t>
      </w:r>
    </w:p>
    <w:p w:rsidR="00577D18" w:rsidRDefault="00577D18" w:rsidP="00526A48">
      <w:r>
        <w:tab/>
        <w:t xml:space="preserve">return new </w:t>
      </w:r>
      <w:proofErr w:type="spellStart"/>
      <w:r>
        <w:t>GuiTestObject</w:t>
      </w:r>
      <w:proofErr w:type="spellEnd"/>
      <w:r>
        <w:t>(to);</w:t>
      </w:r>
    </w:p>
    <w:p w:rsidR="00577D18" w:rsidRDefault="00577D18" w:rsidP="00526A48">
      <w:r>
        <w:lastRenderedPageBreak/>
        <w:t>}</w:t>
      </w:r>
    </w:p>
    <w:p w:rsidR="00577D18" w:rsidRDefault="00577D18" w:rsidP="00526A48">
      <w:r>
        <w:t xml:space="preserve">Explanation:  </w:t>
      </w:r>
    </w:p>
    <w:p w:rsidR="006B1F07" w:rsidRDefault="006B1F07" w:rsidP="00526A48">
      <w:r>
        <w:t>public indicates that other java classes can reference this object</w:t>
      </w:r>
    </w:p>
    <w:p w:rsidR="006B1F07" w:rsidRDefault="006B1F07" w:rsidP="00526A48">
      <w:proofErr w:type="spellStart"/>
      <w:r>
        <w:t>GuiTestObject</w:t>
      </w:r>
      <w:proofErr w:type="spellEnd"/>
      <w:r>
        <w:t xml:space="preserve"> is the object return type</w:t>
      </w:r>
    </w:p>
    <w:p w:rsidR="006B1F07" w:rsidRDefault="006B1F07" w:rsidP="00526A48">
      <w:proofErr w:type="gramStart"/>
      <w:r>
        <w:t>clear(</w:t>
      </w:r>
      <w:proofErr w:type="gramEnd"/>
      <w:r>
        <w:t>) is the name of the object as used in the interface</w:t>
      </w:r>
    </w:p>
    <w:p w:rsidR="00577D18" w:rsidRDefault="00577D18" w:rsidP="00526A48">
      <w:proofErr w:type="spellStart"/>
      <w:r>
        <w:t>TestObject</w:t>
      </w:r>
      <w:proofErr w:type="spellEnd"/>
      <w:r>
        <w:t xml:space="preserve"> declares a generic test object and assigns it to the variable to</w:t>
      </w:r>
    </w:p>
    <w:p w:rsidR="00577D18" w:rsidRDefault="00577D18" w:rsidP="00526A48">
      <w:proofErr w:type="spellStart"/>
      <w:proofErr w:type="gramStart"/>
      <w:r>
        <w:t>clearwindow</w:t>
      </w:r>
      <w:proofErr w:type="spellEnd"/>
      <w:r>
        <w:t>(</w:t>
      </w:r>
      <w:proofErr w:type="gramEnd"/>
      <w:r>
        <w:t>) is a reference to the</w:t>
      </w:r>
      <w:r w:rsidR="006B1F07">
        <w:t xml:space="preserve"> object as contained </w:t>
      </w:r>
      <w:r>
        <w:t xml:space="preserve"> </w:t>
      </w:r>
      <w:r w:rsidR="00335611">
        <w:t>object</w:t>
      </w:r>
      <w:r w:rsidR="006B1F07">
        <w:t xml:space="preserve"> map.  This name can be changed but has be different from </w:t>
      </w:r>
      <w:proofErr w:type="gramStart"/>
      <w:r w:rsidR="006B1F07">
        <w:t>the  name</w:t>
      </w:r>
      <w:proofErr w:type="gramEnd"/>
      <w:r w:rsidR="006B1F07">
        <w:t xml:space="preserve"> of the object as used in the interface</w:t>
      </w:r>
    </w:p>
    <w:p w:rsidR="006B1F07" w:rsidRDefault="006B1F07" w:rsidP="00526A48">
      <w:proofErr w:type="gramStart"/>
      <w:r>
        <w:t>find(</w:t>
      </w:r>
      <w:proofErr w:type="gramEnd"/>
      <w:r>
        <w:t>) finds the object described in the object map</w:t>
      </w:r>
    </w:p>
    <w:p w:rsidR="006B1F07" w:rsidRDefault="006B1F07" w:rsidP="00526A48">
      <w:r>
        <w:t xml:space="preserve">return returns the object </w:t>
      </w:r>
    </w:p>
    <w:p w:rsidR="00FC57E6" w:rsidRDefault="00FC57E6" w:rsidP="00526A48">
      <w:r>
        <w:t>new sets aside memory for the object</w:t>
      </w:r>
    </w:p>
    <w:p w:rsidR="00FC57E6" w:rsidRDefault="00FC57E6" w:rsidP="00526A48">
      <w:proofErr w:type="spellStart"/>
      <w:r>
        <w:t>GuiTestObject</w:t>
      </w:r>
      <w:proofErr w:type="spellEnd"/>
      <w:r>
        <w:t xml:space="preserve">(to) converts the generic test object to (in this case, </w:t>
      </w:r>
      <w:proofErr w:type="spellStart"/>
      <w:proofErr w:type="gramStart"/>
      <w:r>
        <w:t>clearwindow</w:t>
      </w:r>
      <w:proofErr w:type="spellEnd"/>
      <w:r>
        <w:t>(</w:t>
      </w:r>
      <w:proofErr w:type="gramEnd"/>
      <w:r>
        <w:t xml:space="preserve">)) to a </w:t>
      </w:r>
      <w:proofErr w:type="spellStart"/>
      <w:r>
        <w:t>GuiTestObject</w:t>
      </w:r>
      <w:proofErr w:type="spellEnd"/>
    </w:p>
    <w:p w:rsidR="00FC57E6" w:rsidRDefault="00FC57E6" w:rsidP="00526A48"/>
    <w:p w:rsidR="00FC57E6" w:rsidRDefault="00FC57E6" w:rsidP="00526A48">
      <w:r>
        <w:t xml:space="preserve">NOTE:  on the administrative tab of the </w:t>
      </w:r>
      <w:proofErr w:type="spellStart"/>
      <w:r>
        <w:t>TestObject</w:t>
      </w:r>
      <w:proofErr w:type="spellEnd"/>
      <w:r>
        <w:t xml:space="preserve"> Map the correct association can be seen under the Test Object Class Name:</w:t>
      </w:r>
    </w:p>
    <w:p w:rsidR="00FC57E6" w:rsidRDefault="00FC57E6" w:rsidP="00526A48">
      <w:r>
        <w:rPr>
          <w:noProof/>
        </w:rPr>
        <w:drawing>
          <wp:inline distT="0" distB="0" distL="0" distR="0" wp14:anchorId="05EDEA50" wp14:editId="0E8F44D8">
            <wp:extent cx="561022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1171575"/>
                    </a:xfrm>
                    <a:prstGeom prst="rect">
                      <a:avLst/>
                    </a:prstGeom>
                  </pic:spPr>
                </pic:pic>
              </a:graphicData>
            </a:graphic>
          </wp:inline>
        </w:drawing>
      </w:r>
    </w:p>
    <w:p w:rsidR="00FC57E6" w:rsidRDefault="00FC57E6" w:rsidP="00526A48">
      <w:r>
        <w:t>The value cannot be successfully changed.</w:t>
      </w:r>
    </w:p>
    <w:p w:rsidR="00FC57E6" w:rsidRDefault="00FC57E6" w:rsidP="00526A48">
      <w:r>
        <w:t>Each object dealt with in the user story needs its own object definition as described herein.</w:t>
      </w:r>
    </w:p>
    <w:p w:rsidR="00526A48" w:rsidRDefault="00526A48" w:rsidP="00526A48">
      <w:pPr>
        <w:rPr>
          <w:rFonts w:asciiTheme="majorHAnsi" w:eastAsiaTheme="majorEastAsia" w:hAnsiTheme="majorHAnsi" w:cstheme="majorBidi"/>
          <w:color w:val="365F91" w:themeColor="accent1" w:themeShade="BF"/>
          <w:sz w:val="32"/>
          <w:szCs w:val="32"/>
        </w:rPr>
      </w:pPr>
      <w:r>
        <w:br w:type="page"/>
      </w:r>
    </w:p>
    <w:p w:rsidR="00526A48" w:rsidRDefault="00526A48" w:rsidP="00526A48">
      <w:pPr>
        <w:pStyle w:val="Heading1"/>
      </w:pPr>
      <w:r>
        <w:lastRenderedPageBreak/>
        <w:t>RFT Objects vs Web-Based Objects</w:t>
      </w:r>
    </w:p>
    <w:p w:rsidR="00501E2A" w:rsidRDefault="00FC57E6" w:rsidP="00526A48">
      <w:r>
        <w:t>Web-based objects do not explicitly require an ob</w:t>
      </w:r>
      <w:r w:rsidR="00501E2A">
        <w:t>ject map and a suggested approach is contained herein.</w:t>
      </w:r>
    </w:p>
    <w:p w:rsidR="00501E2A" w:rsidRDefault="00501E2A" w:rsidP="00526A48">
      <w:proofErr w:type="spellStart"/>
      <w:r>
        <w:t>RootTestObject</w:t>
      </w:r>
      <w:proofErr w:type="spellEnd"/>
      <w:r>
        <w:t xml:space="preserve"> root=</w:t>
      </w:r>
      <w:proofErr w:type="spellStart"/>
      <w:proofErr w:type="gramStart"/>
      <w:r>
        <w:t>getRootTestObject</w:t>
      </w:r>
      <w:proofErr w:type="spellEnd"/>
      <w:r>
        <w:t>(</w:t>
      </w:r>
      <w:proofErr w:type="gramEnd"/>
      <w:r>
        <w:t>);</w:t>
      </w:r>
    </w:p>
    <w:p w:rsidR="00501E2A" w:rsidRDefault="00501E2A" w:rsidP="00526A48">
      <w:r>
        <w:t xml:space="preserve">public </w:t>
      </w:r>
      <w:proofErr w:type="spellStart"/>
      <w:r>
        <w:t>GuiTestObject</w:t>
      </w:r>
      <w:proofErr w:type="spellEnd"/>
      <w:r>
        <w:t xml:space="preserve"> </w:t>
      </w:r>
      <w:proofErr w:type="gramStart"/>
      <w:r>
        <w:t>select(</w:t>
      </w:r>
      <w:proofErr w:type="gramEnd"/>
      <w:r>
        <w:t>){</w:t>
      </w:r>
    </w:p>
    <w:p w:rsidR="00501E2A" w:rsidRDefault="00501E2A" w:rsidP="00526A48">
      <w:r>
        <w:tab/>
      </w:r>
      <w:proofErr w:type="gramStart"/>
      <w:r>
        <w:t>Property[</w:t>
      </w:r>
      <w:proofErr w:type="gramEnd"/>
      <w:r>
        <w:t>] p=new Property[2];</w:t>
      </w:r>
    </w:p>
    <w:p w:rsidR="00B27947" w:rsidRDefault="00501E2A" w:rsidP="00526A48">
      <w:r>
        <w:tab/>
      </w:r>
      <w:proofErr w:type="gramStart"/>
      <w:r>
        <w:t>p[</w:t>
      </w:r>
      <w:proofErr w:type="gramEnd"/>
      <w:r>
        <w:t>0]=new Property(“.class”,”</w:t>
      </w:r>
      <w:proofErr w:type="spellStart"/>
      <w:r>
        <w:t>Html</w:t>
      </w:r>
      <w:r w:rsidR="00B27947">
        <w:t>.A</w:t>
      </w:r>
      <w:proofErr w:type="spellEnd"/>
      <w:r w:rsidR="00B27947">
        <w:t>”);</w:t>
      </w:r>
    </w:p>
    <w:p w:rsidR="00025659" w:rsidRDefault="00025659" w:rsidP="00526A48">
      <w:r>
        <w:tab/>
      </w:r>
      <w:proofErr w:type="gramStart"/>
      <w:r>
        <w:t>p[</w:t>
      </w:r>
      <w:proofErr w:type="gramEnd"/>
      <w:r>
        <w:t>1]=new Property(“.</w:t>
      </w:r>
      <w:proofErr w:type="spellStart"/>
      <w:r>
        <w:t>name”,”Html</w:t>
      </w:r>
      <w:proofErr w:type="spellEnd"/>
      <w:r>
        <w:t xml:space="preserve"> link”);</w:t>
      </w:r>
    </w:p>
    <w:p w:rsidR="00025659" w:rsidRDefault="00025659" w:rsidP="00526A48">
      <w:r>
        <w:tab/>
      </w:r>
      <w:proofErr w:type="spellStart"/>
      <w:r>
        <w:t>TestObject</w:t>
      </w:r>
      <w:proofErr w:type="spellEnd"/>
      <w:r>
        <w:t xml:space="preserve"> found=</w:t>
      </w:r>
      <w:proofErr w:type="spellStart"/>
      <w:proofErr w:type="gramStart"/>
      <w:r>
        <w:t>root.find</w:t>
      </w:r>
      <w:proofErr w:type="spellEnd"/>
      <w:proofErr w:type="gramEnd"/>
      <w:r>
        <w:t>(</w:t>
      </w:r>
      <w:proofErr w:type="spellStart"/>
      <w:r>
        <w:t>atChild</w:t>
      </w:r>
      <w:proofErr w:type="spellEnd"/>
      <w:r>
        <w:t>(p));</w:t>
      </w:r>
    </w:p>
    <w:p w:rsidR="00025659" w:rsidRDefault="00025659" w:rsidP="00526A48">
      <w:r>
        <w:tab/>
        <w:t xml:space="preserve">return new </w:t>
      </w:r>
      <w:proofErr w:type="spellStart"/>
      <w:r>
        <w:t>GuiTestObject</w:t>
      </w:r>
      <w:proofErr w:type="spellEnd"/>
      <w:r>
        <w:t>(p);</w:t>
      </w:r>
    </w:p>
    <w:p w:rsidR="00526A48" w:rsidRPr="00501E2A" w:rsidRDefault="00025659" w:rsidP="00526A48">
      <w:r>
        <w:t>}</w:t>
      </w:r>
      <w:r w:rsidR="00526A48">
        <w:br w:type="page"/>
      </w:r>
    </w:p>
    <w:p w:rsidR="00526A48" w:rsidRDefault="00526A48" w:rsidP="00526A48">
      <w:pPr>
        <w:pStyle w:val="Heading1"/>
      </w:pPr>
      <w:r>
        <w:lastRenderedPageBreak/>
        <w:t>The Object Map</w:t>
      </w:r>
    </w:p>
    <w:p w:rsidR="00526A48" w:rsidRDefault="00526A48" w:rsidP="00526A48">
      <w:pPr>
        <w:rPr>
          <w:rFonts w:asciiTheme="majorHAnsi" w:eastAsiaTheme="majorEastAsia" w:hAnsiTheme="majorHAnsi" w:cstheme="majorBidi"/>
          <w:color w:val="365F91" w:themeColor="accent1" w:themeShade="BF"/>
          <w:sz w:val="32"/>
          <w:szCs w:val="32"/>
        </w:rPr>
      </w:pPr>
      <w:bookmarkStart w:id="0" w:name="_GoBack"/>
      <w:bookmarkEnd w:id="0"/>
      <w:r>
        <w:br w:type="page"/>
      </w:r>
    </w:p>
    <w:p w:rsidR="00526A48" w:rsidRDefault="00526A48" w:rsidP="00526A48">
      <w:pPr>
        <w:pStyle w:val="Heading1"/>
      </w:pPr>
      <w:r>
        <w:lastRenderedPageBreak/>
        <w:t>The Object Library</w:t>
      </w:r>
    </w:p>
    <w:p w:rsidR="00526A48" w:rsidRDefault="00526A48">
      <w:r>
        <w:br w:type="page"/>
      </w:r>
    </w:p>
    <w:p w:rsidR="00526A48" w:rsidRDefault="00526A48" w:rsidP="00526A48">
      <w:pPr>
        <w:pStyle w:val="Heading1"/>
      </w:pPr>
      <w:r>
        <w:lastRenderedPageBreak/>
        <w:t>Ensuring Objects Continue to Function Across Builds</w:t>
      </w:r>
    </w:p>
    <w:p w:rsidR="00526A48" w:rsidRDefault="00526A48">
      <w:r>
        <w:br w:type="page"/>
      </w:r>
    </w:p>
    <w:p w:rsidR="00526A48" w:rsidRDefault="00526A48" w:rsidP="00526A48">
      <w:pPr>
        <w:pStyle w:val="Heading1"/>
      </w:pPr>
      <w:r>
        <w:lastRenderedPageBreak/>
        <w:t>Non-Readable Objects</w:t>
      </w:r>
    </w:p>
    <w:p w:rsidR="00526A48" w:rsidRDefault="00526A48" w:rsidP="00526A48">
      <w:pPr>
        <w:pStyle w:val="Heading2"/>
      </w:pPr>
      <w:proofErr w:type="spellStart"/>
      <w:r>
        <w:t>MSFlexGrid</w:t>
      </w:r>
      <w:proofErr w:type="spellEnd"/>
    </w:p>
    <w:p w:rsidR="00526A48" w:rsidRDefault="00526A48" w:rsidP="00526A48">
      <w:pPr>
        <w:rPr>
          <w:rFonts w:asciiTheme="majorHAnsi" w:eastAsiaTheme="majorEastAsia" w:hAnsiTheme="majorHAnsi" w:cstheme="majorBidi"/>
          <w:color w:val="365F91" w:themeColor="accent1" w:themeShade="BF"/>
          <w:sz w:val="26"/>
          <w:szCs w:val="26"/>
        </w:rPr>
      </w:pPr>
      <w:r>
        <w:br w:type="page"/>
      </w:r>
    </w:p>
    <w:p w:rsidR="00526A48" w:rsidRDefault="00526A48" w:rsidP="00526A48">
      <w:pPr>
        <w:pStyle w:val="Heading2"/>
      </w:pPr>
      <w:r>
        <w:lastRenderedPageBreak/>
        <w:t>Reports</w:t>
      </w:r>
    </w:p>
    <w:p w:rsidR="00526A48" w:rsidRDefault="00526A48" w:rsidP="00526A48">
      <w:pPr>
        <w:rPr>
          <w:rFonts w:asciiTheme="majorHAnsi" w:eastAsiaTheme="majorEastAsia" w:hAnsiTheme="majorHAnsi" w:cstheme="majorBidi"/>
          <w:color w:val="365F91" w:themeColor="accent1" w:themeShade="BF"/>
          <w:sz w:val="26"/>
          <w:szCs w:val="26"/>
        </w:rPr>
      </w:pPr>
      <w:r>
        <w:br w:type="page"/>
      </w:r>
    </w:p>
    <w:p w:rsidR="00526A48" w:rsidRDefault="00526A48" w:rsidP="00526A48">
      <w:pPr>
        <w:pStyle w:val="Title"/>
      </w:pPr>
      <w:r>
        <w:lastRenderedPageBreak/>
        <w:t>Interfaces</w:t>
      </w:r>
    </w:p>
    <w:p w:rsidR="00526A48" w:rsidRDefault="00526A48" w:rsidP="00526A48">
      <w:pPr>
        <w:pStyle w:val="Heading1"/>
      </w:pPr>
      <w:r>
        <w:t>Java 7-Type Interfaces</w:t>
      </w:r>
    </w:p>
    <w:p w:rsidR="00526A48" w:rsidRDefault="00526A48" w:rsidP="00526A48">
      <w:pPr>
        <w:rPr>
          <w:rFonts w:asciiTheme="majorHAnsi" w:eastAsiaTheme="majorEastAsia" w:hAnsiTheme="majorHAnsi" w:cstheme="majorBidi"/>
          <w:color w:val="365F91" w:themeColor="accent1" w:themeShade="BF"/>
          <w:sz w:val="32"/>
          <w:szCs w:val="32"/>
        </w:rPr>
      </w:pPr>
      <w:r>
        <w:br w:type="page"/>
      </w:r>
    </w:p>
    <w:p w:rsidR="00526A48" w:rsidRDefault="00526A48" w:rsidP="00526A48">
      <w:pPr>
        <w:pStyle w:val="Heading1"/>
      </w:pPr>
      <w:r>
        <w:lastRenderedPageBreak/>
        <w:t>Java 8-Type Interfaces</w:t>
      </w:r>
    </w:p>
    <w:p w:rsidR="00526A48" w:rsidRDefault="00526A48" w:rsidP="00526A48">
      <w:pPr>
        <w:rPr>
          <w:rFonts w:asciiTheme="majorHAnsi" w:eastAsiaTheme="majorEastAsia" w:hAnsiTheme="majorHAnsi" w:cstheme="majorBidi"/>
          <w:color w:val="365F91" w:themeColor="accent1" w:themeShade="BF"/>
          <w:sz w:val="32"/>
          <w:szCs w:val="32"/>
        </w:rPr>
      </w:pPr>
      <w:r>
        <w:br w:type="page"/>
      </w:r>
    </w:p>
    <w:p w:rsidR="00526A48" w:rsidRDefault="00526A48" w:rsidP="00526A48">
      <w:pPr>
        <w:pStyle w:val="Heading1"/>
      </w:pPr>
      <w:r>
        <w:lastRenderedPageBreak/>
        <w:t>Interfaces and Adapters</w:t>
      </w:r>
    </w:p>
    <w:p w:rsidR="00526A48" w:rsidRDefault="00526A48" w:rsidP="00526A48">
      <w:pPr>
        <w:pStyle w:val="Heading2"/>
      </w:pPr>
      <w:r>
        <w:t>RQM and RFT</w:t>
      </w:r>
    </w:p>
    <w:p w:rsidR="00526A48" w:rsidRDefault="00526A48" w:rsidP="00526A48">
      <w:pPr>
        <w:rPr>
          <w:rFonts w:asciiTheme="majorHAnsi" w:eastAsiaTheme="majorEastAsia" w:hAnsiTheme="majorHAnsi" w:cstheme="majorBidi"/>
          <w:color w:val="365F91" w:themeColor="accent1" w:themeShade="BF"/>
          <w:sz w:val="26"/>
          <w:szCs w:val="26"/>
        </w:rPr>
      </w:pPr>
      <w:r>
        <w:br w:type="page"/>
      </w:r>
    </w:p>
    <w:p w:rsidR="00526A48" w:rsidRDefault="00526A48" w:rsidP="00526A48">
      <w:pPr>
        <w:pStyle w:val="Heading2"/>
      </w:pPr>
      <w:r>
        <w:lastRenderedPageBreak/>
        <w:t>RQM and UNIX</w:t>
      </w:r>
    </w:p>
    <w:p w:rsidR="00526A48" w:rsidRDefault="00526A48" w:rsidP="00526A48">
      <w:pPr>
        <w:rPr>
          <w:rFonts w:asciiTheme="majorHAnsi" w:eastAsiaTheme="majorEastAsia" w:hAnsiTheme="majorHAnsi" w:cstheme="majorBidi"/>
          <w:color w:val="365F91" w:themeColor="accent1" w:themeShade="BF"/>
          <w:sz w:val="26"/>
          <w:szCs w:val="26"/>
        </w:rPr>
      </w:pPr>
      <w:r>
        <w:br w:type="page"/>
      </w:r>
    </w:p>
    <w:p w:rsidR="00526A48" w:rsidRDefault="00526A48" w:rsidP="00526A48">
      <w:pPr>
        <w:pStyle w:val="Title"/>
      </w:pPr>
      <w:r>
        <w:lastRenderedPageBreak/>
        <w:t>Executing Code</w:t>
      </w:r>
    </w:p>
    <w:p w:rsidR="00526A48" w:rsidRDefault="00526A48" w:rsidP="00526A48">
      <w:pPr>
        <w:pStyle w:val="Heading1"/>
      </w:pPr>
      <w:r>
        <w:t>Order</w:t>
      </w:r>
    </w:p>
    <w:p w:rsidR="00526A48" w:rsidRDefault="00526A48" w:rsidP="00526A48">
      <w:pPr>
        <w:rPr>
          <w:rFonts w:asciiTheme="majorHAnsi" w:eastAsiaTheme="majorEastAsia" w:hAnsiTheme="majorHAnsi" w:cstheme="majorBidi"/>
          <w:color w:val="365F91" w:themeColor="accent1" w:themeShade="BF"/>
          <w:sz w:val="32"/>
          <w:szCs w:val="32"/>
        </w:rPr>
      </w:pPr>
      <w:r>
        <w:br w:type="page"/>
      </w:r>
    </w:p>
    <w:p w:rsidR="00526A48" w:rsidRDefault="00526A48" w:rsidP="00526A48">
      <w:pPr>
        <w:pStyle w:val="Heading1"/>
      </w:pPr>
      <w:r>
        <w:lastRenderedPageBreak/>
        <w:t>Implements</w:t>
      </w:r>
    </w:p>
    <w:p w:rsidR="00526A48" w:rsidRDefault="00526A48" w:rsidP="00526A48">
      <w:pPr>
        <w:rPr>
          <w:rFonts w:asciiTheme="majorHAnsi" w:eastAsiaTheme="majorEastAsia" w:hAnsiTheme="majorHAnsi" w:cstheme="majorBidi"/>
          <w:color w:val="365F91" w:themeColor="accent1" w:themeShade="BF"/>
          <w:sz w:val="32"/>
          <w:szCs w:val="32"/>
        </w:rPr>
      </w:pPr>
      <w:r>
        <w:br w:type="page"/>
      </w:r>
    </w:p>
    <w:p w:rsidR="00526A48" w:rsidRDefault="00526A48" w:rsidP="00526A48">
      <w:pPr>
        <w:pStyle w:val="Heading1"/>
      </w:pPr>
      <w:r>
        <w:lastRenderedPageBreak/>
        <w:t>Imports</w:t>
      </w:r>
    </w:p>
    <w:p w:rsidR="00526A48" w:rsidRDefault="00526A48" w:rsidP="00526A48">
      <w:pPr>
        <w:rPr>
          <w:rFonts w:asciiTheme="majorHAnsi" w:eastAsiaTheme="majorEastAsia" w:hAnsiTheme="majorHAnsi" w:cstheme="majorBidi"/>
          <w:color w:val="365F91" w:themeColor="accent1" w:themeShade="BF"/>
          <w:sz w:val="32"/>
          <w:szCs w:val="32"/>
        </w:rPr>
      </w:pPr>
      <w:r>
        <w:br w:type="page"/>
      </w:r>
    </w:p>
    <w:p w:rsidR="00526A48" w:rsidRDefault="00526A48" w:rsidP="00526A48">
      <w:pPr>
        <w:pStyle w:val="Heading1"/>
      </w:pPr>
      <w:r>
        <w:lastRenderedPageBreak/>
        <w:t>Verifications</w:t>
      </w:r>
    </w:p>
    <w:p w:rsidR="00526A48" w:rsidRDefault="00526A48" w:rsidP="00526A48">
      <w:pPr>
        <w:rPr>
          <w:rFonts w:asciiTheme="majorHAnsi" w:eastAsiaTheme="majorEastAsia" w:hAnsiTheme="majorHAnsi" w:cstheme="majorBidi"/>
          <w:color w:val="365F91" w:themeColor="accent1" w:themeShade="BF"/>
          <w:sz w:val="32"/>
          <w:szCs w:val="32"/>
        </w:rPr>
      </w:pPr>
      <w:r>
        <w:br w:type="page"/>
      </w:r>
    </w:p>
    <w:p w:rsidR="00526A48" w:rsidRDefault="00526A48" w:rsidP="00526A48">
      <w:pPr>
        <w:pStyle w:val="Heading1"/>
      </w:pPr>
      <w:r>
        <w:lastRenderedPageBreak/>
        <w:t>Greyed-out Objects</w:t>
      </w:r>
    </w:p>
    <w:p w:rsidR="00526A48" w:rsidRDefault="00526A48" w:rsidP="00526A48">
      <w:pPr>
        <w:rPr>
          <w:rFonts w:asciiTheme="majorHAnsi" w:eastAsiaTheme="majorEastAsia" w:hAnsiTheme="majorHAnsi" w:cstheme="majorBidi"/>
          <w:color w:val="365F91" w:themeColor="accent1" w:themeShade="BF"/>
          <w:sz w:val="32"/>
          <w:szCs w:val="32"/>
        </w:rPr>
      </w:pPr>
      <w:r>
        <w:br w:type="page"/>
      </w:r>
    </w:p>
    <w:p w:rsidR="00526A48" w:rsidRDefault="00711990" w:rsidP="00526A48">
      <w:pPr>
        <w:pStyle w:val="Title"/>
      </w:pPr>
      <w:r>
        <w:lastRenderedPageBreak/>
        <w:t>Add-Ons</w:t>
      </w:r>
    </w:p>
    <w:p w:rsidR="00711990" w:rsidRDefault="00711990" w:rsidP="00711990">
      <w:pPr>
        <w:pStyle w:val="Heading1"/>
      </w:pPr>
      <w:r>
        <w:t>Apache POI</w:t>
      </w:r>
    </w:p>
    <w:p w:rsidR="00711990" w:rsidRDefault="00711990" w:rsidP="00711990">
      <w:pPr>
        <w:rPr>
          <w:rFonts w:asciiTheme="majorHAnsi" w:eastAsiaTheme="majorEastAsia" w:hAnsiTheme="majorHAnsi" w:cstheme="majorBidi"/>
          <w:color w:val="365F91" w:themeColor="accent1" w:themeShade="BF"/>
          <w:sz w:val="32"/>
          <w:szCs w:val="32"/>
        </w:rPr>
      </w:pPr>
      <w:r>
        <w:br w:type="page"/>
      </w:r>
    </w:p>
    <w:p w:rsidR="00711990" w:rsidRDefault="00711990" w:rsidP="00711990">
      <w:pPr>
        <w:pStyle w:val="Heading1"/>
      </w:pPr>
      <w:r>
        <w:lastRenderedPageBreak/>
        <w:t>TestNG</w:t>
      </w:r>
    </w:p>
    <w:p w:rsidR="00711990" w:rsidRDefault="00711990" w:rsidP="00711990">
      <w:pPr>
        <w:rPr>
          <w:rFonts w:asciiTheme="majorHAnsi" w:eastAsiaTheme="majorEastAsia" w:hAnsiTheme="majorHAnsi" w:cstheme="majorBidi"/>
          <w:color w:val="365F91" w:themeColor="accent1" w:themeShade="BF"/>
          <w:sz w:val="32"/>
          <w:szCs w:val="32"/>
        </w:rPr>
      </w:pPr>
      <w:r>
        <w:br w:type="page"/>
      </w:r>
    </w:p>
    <w:p w:rsidR="00711990" w:rsidRPr="00711990" w:rsidRDefault="00711990" w:rsidP="00711990">
      <w:pPr>
        <w:pStyle w:val="Heading1"/>
      </w:pPr>
      <w:r>
        <w:lastRenderedPageBreak/>
        <w:t>Others</w:t>
      </w:r>
    </w:p>
    <w:sectPr w:rsidR="00711990" w:rsidRPr="00711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A48"/>
    <w:rsid w:val="00025659"/>
    <w:rsid w:val="00335611"/>
    <w:rsid w:val="00501E2A"/>
    <w:rsid w:val="00526A48"/>
    <w:rsid w:val="00577D18"/>
    <w:rsid w:val="006B1F07"/>
    <w:rsid w:val="00711990"/>
    <w:rsid w:val="007840D5"/>
    <w:rsid w:val="008E6D86"/>
    <w:rsid w:val="009E5F4A"/>
    <w:rsid w:val="00A67F84"/>
    <w:rsid w:val="00B27947"/>
    <w:rsid w:val="00B909B4"/>
    <w:rsid w:val="00BB281E"/>
    <w:rsid w:val="00C751ED"/>
    <w:rsid w:val="00E37BBA"/>
    <w:rsid w:val="00F92751"/>
    <w:rsid w:val="00FA464F"/>
    <w:rsid w:val="00FC57E6"/>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26CC4"/>
  <w15:chartTrackingRefBased/>
  <w15:docId w15:val="{D0C70E26-F5E5-4E81-B453-78AB5D0EA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A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26A4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A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A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6A4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26A48"/>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B90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21</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Hildebrand, Randal, VBASPT</dc:creator>
  <cp:keywords/>
  <dc:description/>
  <cp:lastModifiedBy>Hildebrand, Randal, VBASPT</cp:lastModifiedBy>
  <cp:revision>3</cp:revision>
  <dcterms:created xsi:type="dcterms:W3CDTF">2018-07-09T12:19:00Z</dcterms:created>
  <dcterms:modified xsi:type="dcterms:W3CDTF">2018-07-23T14:39:00Z</dcterms:modified>
</cp:coreProperties>
</file>