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76B3A"/>
          <w:sz w:val="24"/>
        </w:rPr>
        <w:t>实验分析报告</w:t>
      </w:r>
    </w:p>
    <w:p>
      <w:pPr>
        <w:spacing w:after="1080"/>
      </w:pPr>
    </w:p>
    <w:p>
      <w:pPr>
        <w:pStyle w:val="Title"/>
        <w:jc w:val="center"/>
      </w:pPr>
      <w:r>
        <w:t>采购单流程调查 Agent</w:t>
        <w:br/>
        <w:t>与规则基线对照实验</w:t>
      </w:r>
    </w:p>
    <w:p>
      <w:pPr>
        <w:pStyle w:val="Subtitle"/>
        <w:jc w:val="center"/>
      </w:pPr>
      <w:r>
        <w:t>冻结 V2 2 全量 3000 份采购单实验</w:t>
      </w:r>
    </w:p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555555"/>
          <w:sz w:val="21"/>
        </w:rPr>
        <w:t>项目成果文档</w:t>
        <w:br/>
        <w:t>2026年9月6日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r>
        <w:rPr>
          <w:rFonts w:ascii="Microsoft YaHei" w:hAnsi="Microsoft YaHei" w:eastAsia="Microsoft YaHei"/>
        </w:rPr>
        <w:t>冻结 V2.2 Agent 已在全部 3000 份采购单上稳定完成批处理，五个 Batch 分批均成功，0 个请求失败。Agent 与纯规则基线在 2628 份采购单上决策一致，一致率为 87.6%；在 372 份采购单上存在分歧。</w:t>
      </w:r>
    </w:p>
    <w:p>
      <w:r>
        <w:rPr>
          <w:rFonts w:ascii="Microsoft YaHei" w:hAnsi="Microsoft YaHei" w:eastAsia="Microsoft YaHei"/>
        </w:rPr>
        <w:t>全量 3000 例没有逐例人工真值，因此 87.6% 只能解释为系统一致率，不能解释为准确率。冻结独立留出集共 47 例，其中双方 9 个分歧全部完成人工裁决；Agent 判对 7 个，规则判对 2 个。Agent 因此比规则净多判对 5 例，对完整 47 例形成精确的相对准确率优势 10.6 个百分点。</w:t>
      </w:r>
    </w:p>
    <w:p>
      <w:r>
        <w:rPr>
          <w:rFonts w:ascii="Microsoft YaHei" w:hAnsi="Microsoft YaHei" w:eastAsia="Microsoft YaHei"/>
        </w:rPr>
        <w:t>本项目累计人工判断 42 个互不重复的采购单，包括开发集 20 例、初始盲测与回归集 13 例、冻结独立留出分歧集 9 例。只有最后 9 例属于冻结版本后的独立人工裁决，可用于最终无偏比较。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关键指标</w:t>
            </w:r>
          </w:p>
        </w:tc>
        <w:tc>
          <w:tcPr>
            <w:tcW w:type="dxa" w:w="208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25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全量规模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3000 PO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用于输出分布与系统一致性分析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规则与 Agent 一致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2628 PO  87.6%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不是准确率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冻结留出分歧裁决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 PO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规则 2 对  Agent 7 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相对准确率优势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+10.6 个百分点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 相对规则的精确差值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Agent 证据不足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361 PO  12.0%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规则基线无法表达的第三类状态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一 研究问题与实验假设</w:t>
      </w:r>
    </w:p>
    <w:p>
      <w:r>
        <w:rPr>
          <w:rFonts w:ascii="Microsoft YaHei" w:hAnsi="Microsoft YaHei" w:eastAsia="Microsoft YaHei"/>
        </w:rPr>
        <w:t>研究问题是，在采购到付款流程日志的调查任务中，基于大语言模型的 Agent 是否能比纯规则基线提供更可靠的采购单级决策，同时明确指出重点行项目、主要发现与证据缺口。</w:t>
      </w:r>
    </w:p>
    <w:p>
      <w:r>
        <w:rPr>
          <w:rFonts w:ascii="Microsoft YaHei" w:hAnsi="Microsoft YaHei" w:eastAsia="Microsoft YaHei"/>
        </w:rPr>
        <w:t>实验假设：在冻结提示词、事实摘要逻辑和模型版本后，当 Agent 与规则基线产生分歧时，Agent 在独立人工盲审中的正确次数将高于规则；其主要增量应来自对证据不足状态的显式识别，而不是简单扩大或缩小调查范围。</w:t>
      </w:r>
    </w:p>
    <w:p>
      <w:pPr>
        <w:pStyle w:val="Heading1"/>
        <w:keepNext/>
      </w:pPr>
      <w:r>
        <w:t>二 系统与决策定义</w:t>
      </w:r>
    </w:p>
    <w:p>
      <w:pPr>
        <w:pStyle w:val="Heading2"/>
        <w:keepNext/>
      </w:pPr>
      <w:r>
        <w:t>规则基线</w:t>
      </w:r>
    </w:p>
    <w:p>
      <w:r>
        <w:rPr>
          <w:rFonts w:ascii="Microsoft YaHei" w:hAnsi="Microsoft YaHei" w:eastAsia="Microsoft YaHei"/>
        </w:rPr>
        <w:t>规则基线完全不调用 AI，依据预先定义的事件顺序、必需事件、撤销与闭环规则，输出需要进一步调查或无需进一步调查。它提供了项目所需的笨办法对照组。</w:t>
      </w:r>
    </w:p>
    <w:p>
      <w:pPr>
        <w:pStyle w:val="Heading2"/>
        <w:keepNext/>
      </w:pPr>
      <w:r>
        <w:t>冻结 Agent</w:t>
      </w:r>
    </w:p>
    <w:p>
      <w:r>
        <w:rPr>
          <w:rFonts w:ascii="Microsoft YaHei" w:hAnsi="Microsoft YaHei" w:eastAsia="Microsoft YaHei"/>
        </w:rPr>
        <w:t>冻结 V2.2 Agent 使用 gpt-5.4-mini-2026-03-17，reasoning effort 为 low。输入为结构化采购单事实摘要，输出采购单级决策、主要发现、重点行项目、观察事实、证据、可能原因、缺失信息、决策理由与建议动作。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16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48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适用条件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further_investigation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存在明确、尚未解决的流程异常或缺口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insufficient_evidence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日志缺少关键状态值或后续事件，无法可靠定性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no_further_investigation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事件显示流程闭环、撤回后终止或无未解决信号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 样本设计与人工标注</w:t>
      </w:r>
    </w:p>
    <w:p>
      <w:r>
        <w:rPr>
          <w:rFonts w:ascii="Microsoft YaHei" w:hAnsi="Microsoft YaHei" w:eastAsia="Microsoft YaHei"/>
        </w:rPr>
        <w:t>实验采用开发、回归、冻结留出和全量运行四个层次。开发集与初始盲测结果参与了 V2.2 的形成，因此仅用于调试与稳健性检查；冻结独立留出集在版本锁定后运行，用于最终相对比较。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15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人工判断</w:t>
            </w:r>
          </w:p>
        </w:tc>
        <w:tc>
          <w:tcPr>
            <w:tcW w:type="dxa" w:w="33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4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最终无偏比较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开发集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提示词与输出逻辑调优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初始盲测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错误发现与 V2.2 回归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冻结独立留出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47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裁决双方全部分歧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冻结全量运行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3000 PO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无逐例真值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规模与分流分析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不适用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人工判断总量为 42 个互不重复的采购单，而不是 20 加 9。对应标签文件为 development_labels_v1.jsonl 共 20 条、blind_labels_v1.jsonl 共 13 条、blind_holdout_labels_v2_2.jsonl 共 9 条。development_labels.jsonl 与 development_labels_v1.jsonl 内容及 SHA256 相同，是同一组标签的重复命名，不应重复计数。</w:t>
      </w:r>
    </w:p>
    <w:p>
      <w:pPr>
        <w:pStyle w:val="Heading1"/>
        <w:keepNext/>
      </w:pPr>
      <w:r>
        <w:t>四 冻结与复现控制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冻结版本指纹  6D016275F48316DF74CDCB2A3336D94DEFEA7FC43B74B479000AFD2678B3DC6B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全量预测 SHA256  2D2D85D72D0EA45F1CD495406E87B1556FD7F61A7C028774AAFEDF6079B38584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全量预测数量  3000 个唯一采购单</w:t>
      </w:r>
    </w:p>
    <w:p>
      <w:pPr>
        <w:ind w:left="346" w:hanging="230"/>
      </w:pPr>
      <w:r>
        <w:rPr>
          <w:rFonts w:ascii="Microsoft YaHei" w:hAnsi="Microsoft YaHei" w:eastAsia="Microsoft YaHei"/>
        </w:rPr>
        <w:t>•  批处理状态  5 个分批全部完成  失败请求 0</w:t>
      </w:r>
    </w:p>
    <w:p>
      <w:r>
        <w:rPr>
          <w:rFonts w:ascii="Microsoft YaHei" w:hAnsi="Microsoft YaHei" w:eastAsia="Microsoft YaHei"/>
        </w:rPr>
        <w:t>版本指纹用于确认模型、系统提示词和摘要程序未在冻结后发生变化；预测文件哈希用于确认后续评分、汇总和文档引用的是同一份全量结果。</w:t>
      </w:r>
    </w:p>
    <w:p>
      <w:r>
        <w:br w:type="page"/>
      </w:r>
    </w:p>
    <w:p>
      <w:pPr>
        <w:pStyle w:val="Heading1"/>
        <w:keepNext/>
      </w:pPr>
      <w:r>
        <w:t>五 全量 3000 份采购单结果</w:t>
      </w:r>
    </w:p>
    <w:p>
      <w:pPr>
        <w:pStyle w:val="Heading2"/>
        <w:keepNext/>
      </w:pPr>
      <w:r>
        <w:t>决策分布</w:t>
      </w:r>
    </w:p>
    <w:p>
      <w:pPr>
        <w:spacing w:after="60"/>
        <w:jc w:val="center"/>
      </w:pPr>
      <w:r>
        <w:drawing>
          <wp:inline>
            <wp:extent cx="5989320" cy="3254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3000_agent_distribution_v2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color w:val="555555"/>
          <w:sz w:val="17"/>
        </w:rPr>
        <w:t>图一  冻结 V2.2 Agent 在 3000 份采购单上的决策分布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44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需要进一步调查</w:t>
            </w:r>
          </w:p>
        </w:tc>
        <w:tc>
          <w:tcPr>
            <w:tcW w:type="dxa" w:w="208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证据不足</w:t>
            </w:r>
          </w:p>
        </w:tc>
        <w:tc>
          <w:tcPr>
            <w:tcW w:type="dxa" w:w="25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无需进一步调查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规则基线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785  26.2%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2215  73.8%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 V2.2 Agent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665  22.2%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361  12.0%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1974  65.8%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Agent 将二元规则分流扩展为三类决策。361 份采购单被明确标记为证据不足，避免把日志状态缺失直接解释成业务异常或流程闭环。</w:t>
      </w:r>
    </w:p>
    <w:p>
      <w:pPr>
        <w:pStyle w:val="Heading2"/>
        <w:keepNext/>
      </w:pPr>
      <w:r>
        <w:t>系统一致性与分歧</w:t>
      </w:r>
    </w:p>
    <w:p>
      <w:pPr>
        <w:spacing w:after="60"/>
        <w:jc w:val="center"/>
      </w:pPr>
      <w:r>
        <w:drawing>
          <wp:inline>
            <wp:extent cx="5989320" cy="3254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3000_disagreement_breakdown_v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color w:val="555555"/>
          <w:sz w:val="17"/>
        </w:rPr>
        <w:t>图二  372 个规则与 Agent 分歧的构成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8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规则决策</w:t>
            </w:r>
          </w:p>
        </w:tc>
        <w:tc>
          <w:tcPr>
            <w:tcW w:type="dxa" w:w="338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决策</w:t>
            </w:r>
          </w:p>
        </w:tc>
        <w:tc>
          <w:tcPr>
            <w:tcW w:type="dxa" w:w="230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PO 数量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665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109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需要进一步调查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证据不足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252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无需进一步调查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1963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372 个分歧中有 361 个来自 Agent 的证据不足判断，其中 252 个原本被规则判为无需调查，109 个原本被规则判为需要调查。仅 11 个案例被 Agent 从需要调查降为无需调查。由此可见，Agent 的主要行为变化是增加不确定性表达，而非单向放宽或收紧调查标准。</w:t>
      </w:r>
    </w:p>
    <w:p>
      <w:pPr>
        <w:pStyle w:val="Heading1"/>
        <w:keepNext/>
      </w:pPr>
      <w:r>
        <w:t>六 冻结独立留出集比较</w:t>
      </w:r>
    </w:p>
    <w:p>
      <w:pPr>
        <w:spacing w:after="60"/>
        <w:jc w:val="center"/>
      </w:pPr>
      <w:r>
        <w:drawing>
          <wp:inline>
            <wp:extent cx="5989320" cy="325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disagreement_accuracy_v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hAnsi="Microsoft YaHei" w:eastAsia="Microsoft YaHei"/>
          <w:color w:val="555555"/>
          <w:sz w:val="17"/>
        </w:rPr>
        <w:t>图三  9 个已裁决分歧案例中的决策正确率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39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0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规则基线</w:t>
            </w:r>
          </w:p>
        </w:tc>
        <w:tc>
          <w:tcPr>
            <w:tcW w:type="dxa" w:w="252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冻结 Agent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 个分歧案例决策正确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2  22.2%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7  77.8%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主要发现正确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不适用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7  77.8%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重点行项目正确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不适用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9  100.0%</w:t>
            </w:r>
          </w:p>
        </w:tc>
      </w:tr>
      <w:tr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对 47 例的相对准确率差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基准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+10.6 个百分点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47 个独立留出案例中，38 个案例双方预测相同且未人工复核。无论这 38 个共同判断正确与否，Agent 的总正确数量始终比规则多 5 个，因此 5 除以 47 得到的 10.6 个百分点是可确定的相对准确率优势。双方各自的绝对准确率仍无法从现有标签中计算。</w:t>
      </w:r>
    </w:p>
    <w:p>
      <w:r>
        <w:rPr>
          <w:rFonts w:ascii="Microsoft YaHei" w:hAnsi="Microsoft YaHei" w:eastAsia="Microsoft YaHei"/>
        </w:rPr>
        <w:t>统计解释：9 个裁决分歧的样本量较小。按两侧精确 McNemar 思路，仅考察 7 比 2 的不一致正确数，p 值约为 0.18，未达到常用的 0.05 显著性阈值。因此结果支持 Agent 更优的方向性判断，但不能视为强统计定论。</w:t>
      </w:r>
    </w:p>
    <w:p>
      <w:pPr>
        <w:pStyle w:val="Heading1"/>
        <w:keepNext/>
      </w:pPr>
      <w:r>
        <w:t>七 主要发现与业务解释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54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主要发现</w:t>
            </w:r>
          </w:p>
        </w:tc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PO 数量</w:t>
            </w:r>
          </w:p>
        </w:tc>
        <w:tc>
          <w:tcPr>
            <w:tcW w:type="dxa" w:w="165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流程看起来已解决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1974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65.8%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流程状态不确定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360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12.0%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发票入账后未观察到清账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335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11.2%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未观察到必需的发票入账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175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未观察到必需的收货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55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1.8%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供应商开票早于采购单创建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51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1.7%</w:t>
            </w:r>
          </w:p>
        </w:tc>
      </w:tr>
      <w:tr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其他撤销与顺序问题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1.7%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规则适合识别定义清楚、模式稳定的异常，成本低且输出一致；Agent 的额外价值集中在跨行项目整合、因果解释和不确定性表达。实际部署时，证据不足应进入补数或复核队列，而不是与明确异常混在同一调查队列中。</w:t>
      </w:r>
    </w:p>
    <w:p>
      <w:r>
        <w:br w:type="page"/>
      </w:r>
    </w:p>
    <w:p>
      <w:pPr>
        <w:pStyle w:val="Heading1"/>
        <w:keepNext/>
      </w:pPr>
      <w:r>
        <w:t>八 运行成本与工程可靠性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968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普通输入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4,156,666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缓存输入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8,219,904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输出 Token  含推理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1,981,847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总 Token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14,358,417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估算 Batch API 费用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12.65 美元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费用根据运行记录中的 Token 使用量和报告生成时记录的 GPT-5.4 Mini Batch 单价估算，最终金额以 OpenAI API 账单为准。五个批次均完成且无失败请求，说明冻结版本具备 3000 份采购单规模的稳定批处理能力。</w:t>
      </w:r>
    </w:p>
    <w:p>
      <w:pPr>
        <w:pStyle w:val="Heading1"/>
        <w:keepNext/>
      </w:pPr>
      <w:r>
        <w:t>九 局限性与有效性边界</w:t>
      </w:r>
    </w:p>
    <w:p>
      <w:pPr>
        <w:ind w:left="403" w:hanging="403"/>
      </w:pPr>
      <w:r>
        <w:rPr>
          <w:rFonts w:ascii="Microsoft YaHei" w:hAnsi="Microsoft YaHei" w:eastAsia="Microsoft YaHei"/>
        </w:rPr>
        <w:t>1  全量 3000 例没有逐例人工真值，一致率不能被解释为准确率。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2  独立留出集只人工裁决 9 个分歧，38 个共同预测未复核，因此绝对准确率不可得。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3  已裁决分歧只有 9 例，统计功效有限，10.6 个百分点应表述为精确的相对差值与方向性证据。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4  开发集 20 例和初始盲测人工复核 13 例参与过 V2.2 调优，不能重新包装为独立测试结果。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5  事件日志不包含所有金额、数量、状态变更后的值、付款凭证和日志截断后的处理，因此业务事实结论仍受数据范围限制。</w:t>
      </w:r>
    </w:p>
    <w:p>
      <w:pPr>
        <w:ind w:left="403" w:hanging="403"/>
      </w:pPr>
      <w:r>
        <w:rPr>
          <w:rFonts w:ascii="Microsoft YaHei" w:hAnsi="Microsoft YaHei" w:eastAsia="Microsoft YaHei"/>
        </w:rPr>
        <w:t>6  本实验验证的是给定日志与规则定义下的流程调查能力，不直接等价于财务审计结论或真实损失识别能力。</w:t>
      </w:r>
    </w:p>
    <w:p>
      <w:pPr>
        <w:pStyle w:val="Heading1"/>
        <w:keepNext/>
      </w:pPr>
      <w:r>
        <w:t>十 结论与下一步</w:t>
      </w:r>
    </w:p>
    <w:p>
      <w:r>
        <w:rPr>
          <w:rFonts w:ascii="Microsoft YaHei" w:hAnsi="Microsoft YaHei" w:eastAsia="Microsoft YaHei"/>
        </w:rPr>
        <w:t>结论：现有独立证据更支持冻结 V2.2 Agent，而不是纯规则基线。Agent 在 47 个独立留出案例上形成 10.6 个百分点的相对准确率优势，并在 3000 份采购单中把 12.0% 的案例识别为证据不足。项目已完成从规则基线、Agent 开发、冻结留出验证到 3000 份采购单全量运行的主要实验闭环。</w:t>
      </w:r>
    </w:p>
    <w:p>
      <w:r>
        <w:rPr>
          <w:rFonts w:ascii="Microsoft YaHei" w:hAnsi="Microsoft YaHei" w:eastAsia="Microsoft YaHei"/>
        </w:rPr>
        <w:t>下一步不必再修改冻结 V2.2。若需要把项目升级为更强的论文证据，应优先补充独立人工标签，而不是继续调提示词。最有价值的扩展是从 38 个共同预测中随机抽取审计样本，或建立更大的全新留出集，以估计双方的绝对准确率和置信区间。</w:t>
      </w:r>
    </w:p>
    <w:p>
      <w:pPr>
        <w:pStyle w:val="Heading1"/>
        <w:keepNext/>
      </w:pPr>
      <w:r>
        <w:t>附录一 人工标签文件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112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标签文件</w:t>
            </w:r>
          </w:p>
        </w:tc>
        <w:tc>
          <w:tcPr>
            <w:tcW w:type="dxa" w:w="12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记录数</w:t>
            </w:r>
          </w:p>
        </w:tc>
        <w:tc>
          <w:tcPr>
            <w:tcW w:type="dxa" w:w="3024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evals\development_labels_v1.jsonl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开发集人工答案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evals\development_labels.jsonl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与上一文件完全相同的重复命名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evals\blind_labels_v1.jsonl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初始盲测与回归人工答案</w:t>
            </w:r>
          </w:p>
        </w:tc>
      </w:tr>
      <w:t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evals\blind_holdout_labels_v2_2.jsonl</w:t>
            </w:r>
          </w:p>
        </w:tc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冻结独立留出分歧人工答案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附录二 可复现文件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7416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00"/>
            <w:shd w:fill="176B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outputs\agent_predictions_all_3000_frozen_v2_2.jsonl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全量预测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outputs\agent_predictions_all_3000_frozen_v2_2_summary.json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全量原始汇总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outputs\final_experiment_metrics_v2_2.json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报告统计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outputs\full_3000_agent_distribution_v2_2.csv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决策分布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outputs\full_3000_rule_agent_crosstab_v2_2.csv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交叉表</w:t>
            </w:r>
          </w:p>
        </w:tc>
      </w:tr>
      <w:tr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outputs\final_holdout_metrics_v2_2.csv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4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留出集指标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建议引用表述</w:t>
      </w:r>
    </w:p>
    <w:p>
      <w:pPr>
        <w:spacing w:before="100" w:after="200"/>
        <w:ind w:left="504" w:right="504"/>
        <w:keepLines/>
      </w:pPr>
      <w:r>
        <w:rPr>
          <w:rFonts w:ascii="Microsoft YaHei" w:hAnsi="Microsoft YaHei" w:eastAsia="Microsoft YaHei"/>
          <w:color w:val="555555"/>
          <w:sz w:val="20"/>
        </w:rPr>
        <w:t>在 3000 份采购单上的全量实验中，冻结 V2.2 Agent 与纯规则基线达到 87.6% 的一致率，并将 12.0% 的采购单识别为证据不足。在 47 份冻结独立留出案例中，双方 9 个分歧均经人工裁决，Agent 判对 7 个、规则判对 2 个，因此 Agent 相对规则净多判对 5 份采购单，对完整留出集形成 10.6 个百分点的相对准确率优势。由于其余共同预测案例未全部获得人工标签，本研究不将全量一致率解释为绝对准确率。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8496"/>
      <w:gridCol w:w="1440"/>
    </w:tblGrid>
    <w:tr>
      <w:tc>
        <w:tcPr>
          <w:tcW w:type="dxa" w:w="4968"/>
        </w:tcPr>
        <w:p>
          <w:pPr>
            <w:jc w:val="left"/>
          </w:pPr>
          <w:r>
            <w:rPr>
              <w:rFonts w:ascii="Microsoft YaHei" w:hAnsi="Microsoft YaHei" w:eastAsia="Microsoft YaHei"/>
              <w:color w:val="176B3A"/>
              <w:sz w:val="16"/>
            </w:rPr>
            <w:t>采购单流程调查 Agent 对照实验</w:t>
          </w:r>
        </w:p>
      </w:tc>
      <w:tc>
        <w:tcPr>
          <w:tcW w:type="dxa" w:w="4968"/>
        </w:tcPr>
        <w:p>
          <w:pPr>
            <w:jc w:val="right"/>
          </w:pPr>
          <w:r/>
          <w:r>
            <w:rPr>
              <w:rFonts w:ascii="Microsoft YaHei" w:hAnsi="Microsoft YaHei" w:eastAsia="Microsoft YaHei"/>
              <w:color w:val="111111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307" w:lineRule="auto"/>
    </w:pPr>
    <w:rPr>
      <w:rFonts w:ascii="Microsoft YaHei" w:hAnsi="Microsoft YaHei" w:eastAsia="Microsoft YaHei"/>
      <w:color w:val="111111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120" w:before="260" w:lineRule="auto"/>
    </w:pPr>
    <w:rPr>
      <w:rFonts w:ascii="Microsoft YaHei" w:cs="Georgia" w:eastAsia="Microsoft YaHei" w:hAnsi="Microsoft YaHei"/>
      <w:b/>
      <w:bCs w:val="1"/>
      <w:color w:val="111111"/>
      <w:sz w:val="36"/>
      <w:szCs w:val="36"/>
    </w:rPr>
  </w:style>
  <w:style w:type="paragraph" w:styleId="Heading2">
    <w:name w:val="heading 2"/>
    <w:basedOn w:val="Normal"/>
    <w:next w:val="Normal"/>
    <w:pPr>
      <w:keepNext/>
      <w:keepLines w:val="1"/>
      <w:spacing w:before="180" w:lineRule="auto" w:after="120"/>
      <w:jc w:val="center"/>
    </w:pPr>
    <w:rPr>
      <w:rFonts w:ascii="Microsoft YaHei" w:cs="Georgia" w:eastAsia="Microsoft YaHei" w:hAnsi="Microsoft YaHei"/>
      <w:b/>
      <w:color w:val="111111"/>
      <w:sz w:val="26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before="180" w:lineRule="auto" w:after="120"/>
      <w:jc w:val="center"/>
    </w:pPr>
    <w:rPr>
      <w:rFonts w:ascii="Microsoft YaHei" w:cs="Georgia" w:eastAsia="Microsoft YaHei" w:hAnsi="Microsoft YaHei"/>
      <w:b/>
      <w:color w:val="111111"/>
      <w:sz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icrosoft YaHei" w:hAnsi="Microsoft YaHei" w:eastAsia="Microsoft YaHei"/>
      <w:b/>
      <w:bCs w:val="1"/>
      <w:color w:val="111111"/>
      <w:sz w:val="60"/>
      <w:szCs w:val="80"/>
    </w:rPr>
  </w:style>
  <w:style w:type="paragraph" w:styleId="Subtitle">
    <w:name w:val="Subtitle"/>
    <w:basedOn w:val="Normal"/>
    <w:next w:val="Normal"/>
    <w:pPr/>
    <w:rPr>
      <w:rFonts w:ascii="Microsoft YaHei" w:hAnsi="Microsoft YaHei" w:eastAsia="Microsoft YaHei"/>
      <w:color w:val="555555"/>
      <w:sz w:val="26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