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176B3A"/>
          <w:sz w:val="24"/>
        </w:rPr>
        <w:t>实验分析报告</w:t>
      </w:r>
    </w:p>
    <w:p>
      <w:pPr>
        <w:spacing w:after="1080"/>
      </w:pPr>
    </w:p>
    <w:p>
      <w:pPr>
        <w:pStyle w:val="Title"/>
        <w:jc w:val="center"/>
      </w:pPr>
      <w:r>
        <w:t>采购单流程调查 Agent</w:t>
        <w:br/>
        <w:t>与规则基线对照实验</w:t>
      </w:r>
    </w:p>
    <w:p>
      <w:pPr>
        <w:pStyle w:val="Subtitle"/>
        <w:jc w:val="center"/>
      </w:pPr>
      <w:r>
        <w:t>冻结 V2 2 全量 3000 份采购单实验</w:t>
      </w:r>
    </w:p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555555"/>
          <w:sz w:val="21"/>
        </w:rPr>
        <w:t>项目成果文档</w:t>
        <w:br/>
        <w:t>2026年9月6日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r>
        <w:rPr>
          <w:rFonts w:ascii="Microsoft YaHei" w:hAnsi="Microsoft YaHei" w:eastAsia="Microsoft YaHei"/>
        </w:rPr>
        <w:t>冻结 V2.2 Agent 已在全部 3000 份采购单上稳定完成批处理，五个 Batch 分批均成功，0 个请求失败。Agent 与纯规则基线在 2628 份采购单上决策一致，一致率为 87.6%；在 372 份采购单上存在分歧。</w:t>
      </w:r>
    </w:p>
    <w:p>
      <w:r>
        <w:rPr>
          <w:rFonts w:ascii="Microsoft YaHei" w:hAnsi="Microsoft YaHei" w:eastAsia="Microsoft YaHei"/>
        </w:rPr>
        <w:t xml:space="preserve">全量 3000 例没有逐例人工真值，因此 87.6% 只能解释为系统一致率，不能解释为准确率。原报告依据冻结留出集提出的 +10.6 个百分点相对准确率优势，经复核确认无效，已在第六节撤回：9 例中实际分歧仅 7 例，且 7 例全部为寄售采购单，属同一模式，有效样本量为 1。</w:t>
      </w:r>
    </w:p>
    <w:p>
      <w:r>
        <w:rPr>
          <w:rFonts w:ascii="Microsoft YaHei" w:hAnsi="Microsoft YaHei" w:eastAsia="Microsoft YaHei"/>
        </w:rPr>
        <w:t xml:space="preserve">本项目累计人工判断 42 个互不重复的采购单，包括开发集 20 例、初始盲测与回归集 13 例、冻结留出集 9 例。三组标签均由模型起草、本人逐条复核，与被评估 Agent 使用同一模型，不构成独立真值。本报告可支持的结论限于全量决策分布、系统一致性、行为差异与运行成本。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关键指标</w:t>
            </w:r>
          </w:p>
        </w:tc>
        <w:tc>
          <w:tcPr>
            <w:tcW w:type="dxa" w:w="208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结果</w:t>
            </w:r>
          </w:p>
        </w:tc>
        <w:tc>
          <w:tcPr>
            <w:tcW w:type="dxa" w:w="5256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解释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全量规模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3000 PO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用于输出分布与系统一致性分析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规则与 Agent 一致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2628 PO  87.6%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不是准确率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冻结留出分歧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实际 7 例，同属一种模式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有效样本量 1，比较无效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相对准确率优势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已撤回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理由见第六节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Agent 证据不足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361 PO  12.0%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其中 252 例为寄售识别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人工调查队列变化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785 → 1026  +31%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证据不足需人工处理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一 研究问题与实验假设</w:t>
      </w:r>
    </w:p>
    <w:p>
      <w:r>
        <w:rPr>
          <w:rFonts w:ascii="Microsoft YaHei" w:hAnsi="Microsoft YaHei" w:eastAsia="Microsoft YaHei"/>
        </w:rPr>
        <w:t>研究问题是，在采购到付款流程日志的调查任务中，基于大语言模型的 Agent 是否能比纯规则基线提供更可靠的采购单级决策，同时明确指出重点行项目、主要发现与证据缺口。</w:t>
      </w:r>
    </w:p>
    <w:p>
      <w:r>
        <w:rPr>
          <w:rFonts w:ascii="Microsoft YaHei" w:hAnsi="Microsoft YaHei" w:eastAsia="Microsoft YaHei"/>
        </w:rPr>
        <w:t>实验假设：在冻结提示词、事实摘要逻辑和模型版本后，当 Agent 与规则基线产生分歧时，Agent 在独立人工盲审中的正确次数将高于规则；其主要增量应来自对证据不足状态的显式识别，而不是简单扩大或缩小调查范围。</w:t>
      </w:r>
    </w:p>
    <w:p>
      <w:pPr>
        <w:pStyle w:val="Heading1"/>
        <w:keepNext/>
      </w:pPr>
      <w:r>
        <w:t>二 系统与决策定义</w:t>
      </w:r>
    </w:p>
    <w:p>
      <w:pPr>
        <w:pStyle w:val="Heading2"/>
        <w:keepNext/>
      </w:pPr>
      <w:r>
        <w:t>规则基线</w:t>
      </w:r>
    </w:p>
    <w:p>
      <w:r>
        <w:rPr>
          <w:rFonts w:ascii="Microsoft YaHei" w:hAnsi="Microsoft YaHei" w:eastAsia="Microsoft YaHei"/>
        </w:rPr>
        <w:t>规则基线完全不调用 AI，依据预先定义的事件顺序、必需事件、撤销与闭环规则，输出需要进一步调查或无需进一步调查。它提供了项目所需的笨办法对照组。</w:t>
      </w:r>
    </w:p>
    <w:p>
      <w:pPr>
        <w:pStyle w:val="Heading2"/>
        <w:keepNext/>
      </w:pPr>
      <w:r>
        <w:t>冻结 Agent</w:t>
      </w:r>
    </w:p>
    <w:p>
      <w:r>
        <w:rPr>
          <w:rFonts w:ascii="Microsoft YaHei" w:hAnsi="Microsoft YaHei" w:eastAsia="Microsoft YaHei"/>
        </w:rPr>
        <w:t>冻结 V2.2 Agent 使用 gpt-5.4-mini-2026-03-17，reasoning effort 为 low。输入为结构化采购单事实摘要，输出采购单级决策、主要发现、重点行项目、观察事实、证据、可能原因、缺失信息、决策理由与建议动作。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16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482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适用条件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further_investigation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存在明确、尚未解决的流程异常或缺口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insufficient_evidence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证据不足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日志缺少关键状态值或后续事件，无法可靠定性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no_further_investigation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事件显示流程闭环、撤回后终止或无未解决信号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 样本设计与人工标注</w:t>
      </w:r>
    </w:p>
    <w:p>
      <w:r>
        <w:rPr>
          <w:rFonts w:ascii="Microsoft YaHei" w:hAnsi="Microsoft YaHei" w:eastAsia="Microsoft YaHei"/>
        </w:rPr>
        <w:t xml:space="preserve">实验采用开发、回归、冻结留出和全量运行四个层次。开发集与初始盲测结果参与了 V2.2 的形成，仅用于调试与稳健性检查；冻结留出集在版本锁定后运行，原计划用于最终相对比较，但经复核该比较无效，理由见第六节。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15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样本</w:t>
            </w:r>
          </w:p>
        </w:tc>
        <w:tc>
          <w:tcPr>
            <w:tcW w:type="dxa" w:w="15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人工判断</w:t>
            </w:r>
          </w:p>
        </w:tc>
        <w:tc>
          <w:tcPr>
            <w:tcW w:type="dxa" w:w="33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用途</w:t>
            </w:r>
          </w:p>
        </w:tc>
        <w:tc>
          <w:tcPr>
            <w:tcW w:type="dxa" w:w="144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最终无偏比较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开发集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20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提示词与输出逻辑调优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初始盲测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60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错误发现与 V2.2 回归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冻结独立留出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47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裁决双方分歧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否（复核后撤回）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冻结全量运行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3000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无逐例真值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规模与分流分析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不适用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 xml:space="preserve">人工判断总量为 42 个互不重复的采购单。对应标签文件为 development_labels_v1.jsonl 共 20 条、blind_labels_v1.jsonl 共 13 条、blind_holdout_labels_v2_2.jsonl 共 9 条。development_labels.jsonl 与 development_labels_v1.jsonl 内容及 SHA256 相同，是同一组标签的重复命名，不应重复计数。三组标签的生成方式见第九节第三条。</w:t>
      </w:r>
    </w:p>
    <w:p>
      <w:pPr>
        <w:pStyle w:val="Heading1"/>
        <w:keepNext/>
      </w:pPr>
      <w:r>
        <w:t>四 冻结与复现控制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冻结版本指纹  6D016275F48316DF74CDCB2A3336D94DEFEA7FC43B74B479000AFD2678B3DC6B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全量预测 SHA256  2D2D85D72D0EA45F1CD495406E87B1556FD7F61A7C028774AAFEDF6079B38584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全量预测数量  3000 个唯一采购单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批处理状态  5 个分批全部完成  失败请求 0</w:t>
      </w:r>
    </w:p>
    <w:p>
      <w:r>
        <w:rPr>
          <w:rFonts w:ascii="Microsoft YaHei" w:hAnsi="Microsoft YaHei" w:eastAsia="Microsoft YaHei"/>
        </w:rPr>
        <w:t>版本指纹用于确认模型、系统提示词和摘要程序未在冻结后发生变化；预测文件哈希用于确认后续评分、汇总和文档引用的是同一份全量结果。</w:t>
      </w:r>
    </w:p>
    <w:p>
      <w:r>
        <w:br w:type="page"/>
      </w:r>
    </w:p>
    <w:p>
      <w:pPr>
        <w:pStyle w:val="Heading1"/>
        <w:keepNext/>
      </w:pPr>
      <w:r>
        <w:t>五 全量 3000 份采购单结果</w:t>
      </w:r>
    </w:p>
    <w:p>
      <w:pPr>
        <w:pStyle w:val="Heading2"/>
        <w:keepNext/>
      </w:pPr>
      <w:r>
        <w:t>决策分布</w:t>
      </w:r>
    </w:p>
    <w:p>
      <w:pPr>
        <w:spacing w:after="60"/>
        <w:jc w:val="center"/>
      </w:pPr>
      <w:r>
        <w:drawing>
          <wp:inline>
            <wp:extent cx="5989320" cy="3254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3000_agent_distribution_v2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color w:val="555555"/>
          <w:sz w:val="17"/>
        </w:rPr>
        <w:t>图一  冻结 V2.2 Agent 在 3000 份采购单上的决策分布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3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44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需要进一步调查</w:t>
            </w:r>
          </w:p>
        </w:tc>
        <w:tc>
          <w:tcPr>
            <w:tcW w:type="dxa" w:w="208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证据不足</w:t>
            </w:r>
          </w:p>
        </w:tc>
        <w:tc>
          <w:tcPr>
            <w:tcW w:type="dxa" w:w="259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无需进一步调查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规则基线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785  26.2%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2215  73.8%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 V2.2 Agent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665  22.2%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361  12.0%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1974  65.8%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Agent 将二元规则分流扩展为三类决策。361 份采购单被明确标记为证据不足，避免把日志状态缺失直接解释成业务异常或流程闭环。</w:t>
      </w:r>
    </w:p>
    <w:p>
      <w:pPr>
        <w:pStyle w:val="Heading2"/>
        <w:keepNext/>
      </w:pPr>
      <w:r>
        <w:t>系统一致性与分歧</w:t>
      </w:r>
    </w:p>
    <w:p>
      <w:pPr>
        <w:spacing w:after="60"/>
        <w:jc w:val="center"/>
      </w:pPr>
      <w:r>
        <w:drawing>
          <wp:inline>
            <wp:extent cx="5989320" cy="3254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3000_disagreement_breakdown_v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color w:val="555555"/>
          <w:sz w:val="17"/>
        </w:rPr>
        <w:t>图二  372 个规则与 Agent 分歧的构成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8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规则决策</w:t>
            </w:r>
          </w:p>
        </w:tc>
        <w:tc>
          <w:tcPr>
            <w:tcW w:type="dxa" w:w="338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决策</w:t>
            </w:r>
          </w:p>
        </w:tc>
        <w:tc>
          <w:tcPr>
            <w:tcW w:type="dxa" w:w="230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PO 数量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665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证据不足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109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证据不足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252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1963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 xml:space="preserve">372 个分歧中有 361 个来自 Agent 的证据不足判断，其中 252 个原本被规则判为无需调查，109 个原本被规则判为需要调查。仅 11 个案例被 Agent 从需要调查降为无需调查。进一步核查这 252 例的判定理由发现，其中 251 例的内容是寄售采购单已收货但无法观察领用或结算，属同一种情形。因此 Agent 的主要行为变化并非普遍性的不确定性表达，而是集中在一个可由行项目类别直接识别的结构性类别上。</w:t>
      </w:r>
    </w:p>
    <w:p>
      <w:pPr>
        <w:pStyle w:val="Heading1"/>
        <w:keepNext/>
      </w:pPr>
      <w:r>
        <w:t xml:space="preserve">六 冻结独立留出集比较（结论已撤回）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39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230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原报告表述</w:t>
            </w:r>
          </w:p>
        </w:tc>
        <w:tc>
          <w:tcPr>
            <w:tcW w:type="dxa" w:w="252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复核结果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留出集分歧数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9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7（另 2 例双方决策相同）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分歧案例构成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未说明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7 例全部为寄售采购单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标注独立性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视为独立裁决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4 例标注文本完全相同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有效样本量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9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 xml:space="preserve">1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 xml:space="preserve">复核发现三个问题。第一，9 例中有 2 例（4507000784 与 4508056941）双方决策相同，并非分歧，实际分歧为 7 例。第二，7 例分歧全部为寄售采购单，人工结论一致为证据不足，其中 4 例标注文本完全相同，实质是同一模式的重复，有效样本量为 1。第三，该模式已写入冻结系统提示词，明确要求寄售行已收货但无法观察领用或结算时判为 insufficient_evidence。</w:t>
      </w:r>
    </w:p>
    <w:p>
      <w:r>
        <w:rPr>
          <w:rFonts w:ascii="Microsoft YaHei" w:hAnsi="Microsoft YaHei" w:eastAsia="Microsoft YaHei"/>
        </w:rPr>
        <w:t xml:space="preserve">此外，7 例的人工真值均为证据不足，而规则基线是二分类系统，在结构上无法产生该输出，因此在这批案例上不可能判对。综合以上各点，该比较测量的是提示词遵循度与输出类别数的差异，而非独立判断质量。原报告的 +10.6 个百分点相对准确率优势予以撤回，第五节的全量分布与一致性统计不受影响。</w:t>
      </w:r>
    </w:p>
    <w:p>
      <w:pPr>
        <w:pStyle w:val="Heading1"/>
        <w:keepNext/>
      </w:pPr>
      <w:r>
        <w:t>七 主要发现与业务解释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54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主要发现</w:t>
            </w:r>
          </w:p>
        </w:tc>
        <w:tc>
          <w:tcPr>
            <w:tcW w:type="dxa" w:w="180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PO 数量</w:t>
            </w:r>
          </w:p>
        </w:tc>
        <w:tc>
          <w:tcPr>
            <w:tcW w:type="dxa" w:w="1656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流程看起来已解决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1974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65.8%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流程状态不确定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360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12.0%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发票入账后未观察到清账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335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11.2%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未观察到必需的发票入账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175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5.8%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未观察到必需的收货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1.8%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供应商开票早于采购单创建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51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1.7%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其他撤销与顺序问题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1.7%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 xml:space="preserve">规则适合识别定义清楚、模式稳定的异常，成本低且输出一致。但本次实验中，证据不足类别并未体现 Agent 的独立判断价值：361 例中 252 例（70%）的判定内容是寄售采购单无法观察领用与结算。寄售不走订单级发票，缺少发票入账属于预期情况，应在规则层以行项目类别直接豁免，而不是进入人工复核队列。该豁免在项目设计阶段已被识别，但未在规则基线中实现，因此这批案例被传递给了 Agent，并被计入其增量价值。</w:t>
      </w:r>
    </w:p>
    <w:p>
      <w:r>
        <w:rPr>
          <w:rFonts w:ascii="Microsoft YaHei" w:hAnsi="Microsoft YaHei" w:eastAsia="Microsoft YaHei"/>
        </w:rPr>
        <w:t xml:space="preserve">从部署角度看，规则基线的人工队列为 785 例，Agent 为 665 例明确异常加 361 例证据不足，合计 1026 例，增加 31%。因此本实验的实际结论是：在当前规则基线未实现结构性豁免的前提下，引入 Agent 并未降低调查工作量。</w:t>
      </w:r>
    </w:p>
    <w:p>
      <w:r>
        <w:br w:type="page"/>
      </w:r>
    </w:p>
    <w:p>
      <w:pPr>
        <w:pStyle w:val="Heading1"/>
        <w:keepNext/>
      </w:pPr>
      <w:r>
        <w:t>八 运行成本与工程可靠性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96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普通输入 Token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4,156,666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缓存输入 Token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8,219,904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输出 Token  含推理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1,981,847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总 Token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14,358,417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估算 Batch API 费用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12.65 美元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费用根据运行记录中的 Token 使用量和报告生成时记录的 GPT-5.4 Mini Batch 单价估算，最终金额以 OpenAI API 账单为准。五个批次均完成且无失败请求，说明冻结版本具备 3000 份采购单规模的稳定批处理能力。</w:t>
      </w:r>
    </w:p>
    <w:p>
      <w:pPr>
        <w:pStyle w:val="Heading1"/>
        <w:keepNext/>
      </w:pPr>
      <w:r>
        <w:t>九 局限性与有效性边界</w:t>
      </w:r>
    </w:p>
    <w:p>
      <w:pPr>
        <w:ind w:left="403" w:hanging="403"/>
      </w:pPr>
      <w:r>
        <w:rPr>
          <w:rFonts w:ascii="Microsoft YaHei" w:hAnsi="Microsoft YaHei" w:eastAsia="Microsoft YaHei"/>
        </w:rPr>
        <w:t>1  全量 3000 例没有逐例人工真值，一致率不能被解释为准确率。</w:t>
      </w:r>
    </w:p>
    <w:p>
      <w:pPr>
        <w:ind w:left="403" w:hanging="403"/>
      </w:pPr>
      <w:r>
        <w:rPr>
          <w:rFonts w:ascii="Microsoft YaHei" w:hAnsi="Microsoft YaHei" w:eastAsia="Microsoft YaHei"/>
        </w:rPr>
        <w:t xml:space="preserve">2  冻结留出集不构成有效的独立比较。实际分歧 7 例且同属寄售一种模式，有效样本量为 1；该模式已写入系统提示词，比较结果反映提示词遵循度而非判断力。</w:t>
      </w:r>
    </w:p>
    <w:p>
      <w:pPr>
        <w:ind w:left="403" w:hanging="403"/>
      </w:pPr>
      <w:r>
        <w:rPr>
          <w:rFonts w:ascii="Microsoft YaHei" w:hAnsi="Microsoft YaHei" w:eastAsia="Microsoft YaHei"/>
        </w:rPr>
        <w:t xml:space="preserve">3  全部 42 条人工标签均由 GPT 起草、本人逐条复核并要求修改后确认，与被评估的 Agent 使用同一模型，存在锚定与循环验证风险，不能作为独立真值。已识别至少一处错标：4507039581 与 4507005288 将距日志截止不足一个月的发票入账判为未闭环，未考虑观察窗口截断。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4  开发集 20 例和初始盲测人工复核 13 例参与过 V2.2 调优，不能重新包装为独立测试结果。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5  事件日志不包含所有金额、数量、状态变更后的值、付款凭证和日志截断后的处理，因此业务事实结论仍受数据范围限制。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6  本实验验证的是给定日志与规则定义下的流程调查能力，不直接等价于财务审计结论或真实损失识别能力。</w:t>
      </w:r>
    </w:p>
    <w:p>
      <w:pPr>
        <w:ind w:left="403" w:hanging="403"/>
      </w:pPr>
      <w:r>
        <w:rPr>
          <w:rFonts w:ascii="Microsoft YaHei" w:hAnsi="Microsoft YaHei" w:eastAsia="Microsoft YaHei"/>
        </w:rPr>
        <w:t xml:space="preserve">7  规则基线未实现设计阶段已识别的四类结构性豁免（寄售、服务确认单、已删除行项目、2-way match），因此本次对照的基线强度低于应有水平，Agent 相对基线的表现存在系统性高估。</w:t>
      </w:r>
    </w:p>
    <w:p>
      <w:pPr>
        <w:pStyle w:val="Heading1"/>
        <w:keepNext/>
      </w:pPr>
      <w:r>
        <w:t>十 结论与下一步</w:t>
      </w:r>
    </w:p>
    <w:p>
      <w:r>
        <w:rPr>
          <w:rFonts w:ascii="Microsoft YaHei" w:hAnsi="Microsoft YaHei" w:eastAsia="Microsoft YaHei"/>
        </w:rPr>
        <w:t xml:space="preserve">结论：本实验不支持“冻结 V2.2 Agent 优于规则基线”的判断。原留出集比较无效并已撤回。可支持的结论有三点。第一，冻结 V2.2 具备 3000 份采购单规模的稳定批处理能力，全部请求成功，成本约 0.004 美元每单。第二，Agent 的行为变化主要是引入证据不足类别，使人工队列由 785 例增至 1026 例，增加 31%，而非降低调查量。第三，该类别中 70% 的内容为寄售识别，可由规则层依据行项目类别一次性豁免，不需要大语言模型参与。</w:t>
      </w:r>
    </w:p>
    <w:p>
      <w:r>
        <w:rPr>
          <w:rFonts w:ascii="Microsoft YaHei" w:hAnsi="Microsoft YaHei" w:eastAsia="Microsoft YaHei"/>
        </w:rPr>
        <w:t xml:space="preserve">下一步优先级据此调整。第一，在规则基线中实现寄售、服务确认单、已删除行项目与 2-way match 四类结构性豁免，再重新评估，否则任何对照结果都会高估 Agent。第二，建立不经模型起草、由本人独立盲标的测试集，按规则与 Agent 决策分层抽样，估计双方的绝对误报率与漏报率。第三，重新界定职责分工：结构性豁免交给规则，Agent 只处理规则无法表达的复合情况，例如撤销链、跨行入账与历史顺序疑点。不建议继续调整提示词。</w:t>
      </w:r>
    </w:p>
    <w:p>
      <w:pPr>
        <w:pStyle w:val="Heading1"/>
        <w:keepNext/>
      </w:pPr>
      <w:r>
        <w:t>附录一 人工标签文件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1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标签文件</w:t>
            </w:r>
          </w:p>
        </w:tc>
        <w:tc>
          <w:tcPr>
            <w:tcW w:type="dxa" w:w="122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记录数</w:t>
            </w:r>
          </w:p>
        </w:tc>
        <w:tc>
          <w:tcPr>
            <w:tcW w:type="dxa" w:w="302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evals\development_labels_v1.jsonl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开发集人工答案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evals\development_labels.jsonl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与上一文件完全相同的重复命名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evals\blind_labels_v1.jsonl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初始盲测与回归人工答案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evals\blind_holdout_labels_v2_2.jsonl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冻结独立留出分歧人工答案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附录二 可复现文件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7416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outputs\agent_predictions_all_3000_frozen_v2_2.jsonl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全量预测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outputs\agent_predictions_all_3000_frozen_v2_2_summary.json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全量原始汇总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outputs\final_experiment_metrics_v2_2.json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报告统计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outputs\full_3000_agent_distribution_v2_2.csv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决策分布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outputs\full_3000_rule_agent_crosstab_v2_2.csv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交叉表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outputs\final_holdout_metrics_v2_2.csv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留出集指标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建议引用表述</w:t>
      </w:r>
    </w:p>
    <w:p>
      <w:pPr>
        <w:spacing w:before="100" w:after="200"/>
        <w:ind w:left="504" w:right="504"/>
        <w:keepLines/>
      </w:pPr>
      <w:r>
        <w:rPr>
          <w:rFonts w:ascii="Microsoft YaHei" w:hAnsi="Microsoft YaHei" w:eastAsia="Microsoft YaHei"/>
          <w:color w:val="555555"/>
          <w:sz w:val="20"/>
        </w:rPr>
        <w:t xml:space="preserve">在 3000 份采购单上的全量实验中，冻结 V2.2 Agent 与纯规则基线的决策一致率为 87.6%，并将 12.0% 的采购单归入规则基线无法表达的证据不足类别。复核发现该类别中 70% 的判定内容为寄售采购单识别，可由规则层直接豁免，人工调查队列因此由 785 例增至 1026 例；同时确认冻结留出集的相对准确率优势因有效样本量为 1 而无效，已予撤回。本研究据此将 Agent 的定位由过滤器修正为“规则负责结构性豁免、Agent 负责复合异常”的分工。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8496"/>
      <w:gridCol w:w="1440"/>
    </w:tblGrid>
    <w:tr>
      <w:tc>
        <w:tcPr>
          <w:tcW w:type="dxa" w:w="4968"/>
        </w:tcPr>
        <w:p>
          <w:pPr>
            <w:jc w:val="left"/>
          </w:pPr>
          <w:r>
            <w:rPr>
              <w:rFonts w:ascii="Microsoft YaHei" w:hAnsi="Microsoft YaHei" w:eastAsia="Microsoft YaHei"/>
              <w:color w:val="176B3A"/>
              <w:sz w:val="16"/>
            </w:rPr>
            <w:t>采购单流程调查 Agent 对照实验</w:t>
          </w:r>
        </w:p>
      </w:tc>
      <w:tc>
        <w:tcPr>
          <w:tcW w:type="dxa" w:w="4968"/>
        </w:tcPr>
        <w:p>
          <w:pPr>
            <w:jc w:val="right"/>
          </w:pPr>
          <w:r/>
          <w:r>
            <w:rPr>
              <w:rFonts w:ascii="Microsoft YaHei" w:hAnsi="Microsoft YaHei" w:eastAsia="Microsoft YaHei"/>
              <w:color w:val="111111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307" w:lineRule="auto"/>
    </w:pPr>
    <w:rPr>
      <w:rFonts w:ascii="Microsoft YaHei" w:hAnsi="Microsoft YaHei" w:eastAsia="Microsoft YaHei"/>
      <w:color w:val="111111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120" w:before="260" w:lineRule="auto"/>
    </w:pPr>
    <w:rPr>
      <w:rFonts w:ascii="Microsoft YaHei" w:cs="Georgia" w:eastAsia="Microsoft YaHei" w:hAnsi="Microsoft YaHei"/>
      <w:b/>
      <w:bCs w:val="1"/>
      <w:color w:val="111111"/>
      <w:sz w:val="36"/>
      <w:szCs w:val="36"/>
    </w:rPr>
  </w:style>
  <w:style w:type="paragraph" w:styleId="Heading2">
    <w:name w:val="heading 2"/>
    <w:basedOn w:val="Normal"/>
    <w:next w:val="Normal"/>
    <w:pPr>
      <w:keepNext/>
      <w:keepLines w:val="1"/>
      <w:spacing w:before="180" w:lineRule="auto" w:after="120"/>
      <w:jc w:val="center"/>
    </w:pPr>
    <w:rPr>
      <w:rFonts w:ascii="Microsoft YaHei" w:cs="Georgia" w:eastAsia="Microsoft YaHei" w:hAnsi="Microsoft YaHei"/>
      <w:b/>
      <w:color w:val="111111"/>
      <w:sz w:val="26"/>
      <w:szCs w:val="32"/>
    </w:rPr>
  </w:style>
  <w:style w:type="paragraph" w:styleId="Heading3">
    <w:name w:val="heading 3"/>
    <w:basedOn w:val="Normal"/>
    <w:next w:val="Normal"/>
    <w:pPr>
      <w:keepNext/>
      <w:keepLines w:val="1"/>
      <w:spacing w:before="180" w:lineRule="auto" w:after="120"/>
      <w:jc w:val="center"/>
    </w:pPr>
    <w:rPr>
      <w:rFonts w:ascii="Microsoft YaHei" w:cs="Georgia" w:eastAsia="Microsoft YaHei" w:hAnsi="Microsoft YaHei"/>
      <w:b/>
      <w:color w:val="111111"/>
      <w:sz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icrosoft YaHei" w:hAnsi="Microsoft YaHei" w:eastAsia="Microsoft YaHei"/>
      <w:b/>
      <w:bCs w:val="1"/>
      <w:color w:val="111111"/>
      <w:sz w:val="60"/>
      <w:szCs w:val="80"/>
    </w:rPr>
  </w:style>
  <w:style w:type="paragraph" w:styleId="Subtitle">
    <w:name w:val="Subtitle"/>
    <w:basedOn w:val="Normal"/>
    <w:next w:val="Normal"/>
    <w:pPr/>
    <w:rPr>
      <w:rFonts w:ascii="Microsoft YaHei" w:hAnsi="Microsoft YaHei" w:eastAsia="Microsoft YaHei"/>
      <w:color w:val="555555"/>
      <w:sz w:val="26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6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