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宋体"/>
          <w:b/>
          <w:sz w:val="44"/>
        </w:rPr>
      </w:pPr>
      <w:r>
        <w:rPr>
          <w:rFonts w:ascii="宋体"/>
          <w:b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0" r="0" b="10160"/>
                <wp:wrapSquare wrapText="bothSides"/>
                <wp:docPr id="1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>1800440003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9pt;margin-top:-15.6pt;height:31.2pt;width:225pt;mso-wrap-distance-bottom:0pt;mso-wrap-distance-left:9pt;mso-wrap-distance-right:9pt;mso-wrap-distance-top:0pt;z-index:251659264;mso-width-relative:page;mso-height-relative:page;" fillcolor="#FFFFFF" filled="t" stroked="f" coordsize="21600,21600" o:gfxdata="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CnH+iLVAAAACQEAAA8AAAAAAAAAAQAgAAAAIgAAAGRycy9k&#10;b3ducmV2LnhtbFBLAQIUABQAAAAIAIdO4kC6W6VszAEAAIYDAAAOAAAAAAAAAAEAIAAAACQBAABk&#10;cnMvZTJvRG9jLnhtbFBLBQYAAAAABgAGAFkBAABi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课程编号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>1800440003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7"/>
        <w:tblpPr w:leftFromText="180" w:rightFromText="180" w:vertAnchor="text" w:horzAnchor="margin" w:tblpXSpec="right" w:tblpY="-10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188"/>
        <w:gridCol w:w="1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noWrap w:val="0"/>
            <w:vAlign w:val="top"/>
          </w:tcPr>
          <w:p>
            <w:pPr>
              <w:jc w:val="center"/>
              <w:rPr>
                <w:rFonts w:hint="eastAsia"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得分</w:t>
            </w:r>
          </w:p>
        </w:tc>
        <w:tc>
          <w:tcPr>
            <w:tcW w:w="1188" w:type="dxa"/>
            <w:noWrap w:val="0"/>
            <w:vAlign w:val="top"/>
          </w:tcPr>
          <w:p>
            <w:pPr>
              <w:jc w:val="center"/>
              <w:rPr>
                <w:rFonts w:hint="eastAsia"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教师签名</w:t>
            </w:r>
          </w:p>
        </w:tc>
        <w:tc>
          <w:tcPr>
            <w:tcW w:w="1260" w:type="dxa"/>
            <w:noWrap w:val="0"/>
            <w:vAlign w:val="top"/>
          </w:tcPr>
          <w:p>
            <w:pPr>
              <w:jc w:val="center"/>
              <w:rPr>
                <w:rFonts w:hint="eastAsia"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批改日期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900" w:type="dxa"/>
            <w:noWrap w:val="0"/>
            <w:vAlign w:val="top"/>
          </w:tcPr>
          <w:p>
            <w:pPr>
              <w:jc w:val="center"/>
              <w:rPr>
                <w:rFonts w:hint="eastAsia" w:ascii="宋体"/>
                <w:b/>
                <w:sz w:val="44"/>
              </w:rPr>
            </w:pPr>
          </w:p>
        </w:tc>
        <w:tc>
          <w:tcPr>
            <w:tcW w:w="1188" w:type="dxa"/>
            <w:noWrap w:val="0"/>
            <w:vAlign w:val="top"/>
          </w:tcPr>
          <w:p>
            <w:pPr>
              <w:jc w:val="center"/>
              <w:rPr>
                <w:rFonts w:hint="eastAsia" w:ascii="宋体"/>
                <w:b/>
                <w:sz w:val="44"/>
              </w:rPr>
            </w:pPr>
          </w:p>
        </w:tc>
        <w:tc>
          <w:tcPr>
            <w:tcW w:w="1260" w:type="dxa"/>
            <w:noWrap w:val="0"/>
            <w:vAlign w:val="top"/>
          </w:tcPr>
          <w:p>
            <w:pPr>
              <w:jc w:val="center"/>
              <w:rPr>
                <w:rFonts w:hint="eastAsia" w:ascii="宋体"/>
                <w:b/>
                <w:sz w:val="44"/>
              </w:rPr>
            </w:pPr>
          </w:p>
        </w:tc>
      </w:tr>
    </w:tbl>
    <w:p>
      <w:pPr>
        <w:rPr>
          <w:rFonts w:hint="eastAsia" w:ascii="宋体"/>
          <w:b/>
          <w:sz w:val="44"/>
        </w:rPr>
      </w:pPr>
    </w:p>
    <w:p>
      <w:pPr>
        <w:jc w:val="center"/>
        <w:rPr>
          <w:rFonts w:hint="eastAsia"/>
          <w:b/>
          <w:spacing w:val="56"/>
          <w:sz w:val="44"/>
          <w:szCs w:val="44"/>
        </w:rPr>
      </w:pPr>
      <w:r>
        <w:rPr>
          <w:rFonts w:hint="eastAsia" w:ascii="宋体"/>
          <w:b/>
          <w:spacing w:val="56"/>
          <w:sz w:val="44"/>
          <w:szCs w:val="44"/>
        </w:rPr>
        <w:t>深 圳 大 学 实 验 报 告</w:t>
      </w:r>
    </w:p>
    <w:p>
      <w:pPr>
        <w:rPr>
          <w:rFonts w:hint="eastAsia"/>
          <w:b/>
          <w:sz w:val="28"/>
        </w:rPr>
      </w:pPr>
    </w:p>
    <w:p>
      <w:pPr>
        <w:spacing w:line="900" w:lineRule="auto"/>
        <w:ind w:firstLine="1079" w:firstLineChars="384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大学物理实验（一）         </w:t>
      </w:r>
    </w:p>
    <w:p>
      <w:pPr>
        <w:spacing w:line="900" w:lineRule="auto"/>
        <w:ind w:firstLine="1079" w:firstLineChars="384"/>
        <w:jc w:val="both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28"/>
        </w:rPr>
        <w:t>实验名称：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  <w:lang w:val="en-US" w:eastAsia="zh-CN"/>
        </w:rPr>
        <w:t>电子秤的设计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>
      <w:pPr>
        <w:spacing w:line="900" w:lineRule="auto"/>
        <w:ind w:firstLine="1079" w:firstLineChars="384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    院：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</w:t>
      </w:r>
    </w:p>
    <w:p>
      <w:pPr>
        <w:spacing w:line="900" w:lineRule="auto"/>
        <w:ind w:firstLine="1079" w:firstLineChars="384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 xml:space="preserve">：           </w:t>
      </w:r>
      <w:r>
        <w:rPr>
          <w:rFonts w:hint="eastAsia"/>
          <w:b/>
          <w:sz w:val="28"/>
          <w:u w:val="single"/>
          <w:lang w:val="en-US" w:eastAsia="zh-CN"/>
        </w:rPr>
        <w:t>朱玲</w:t>
      </w:r>
      <w:r>
        <w:rPr>
          <w:rFonts w:hint="eastAsia"/>
          <w:b/>
          <w:sz w:val="28"/>
          <w:u w:val="single"/>
        </w:rPr>
        <w:t xml:space="preserve">                       </w:t>
      </w:r>
      <w:r>
        <w:rPr>
          <w:rFonts w:hint="eastAsia"/>
          <w:b/>
          <w:sz w:val="28"/>
        </w:rPr>
        <w:t xml:space="preserve">            </w:t>
      </w:r>
    </w:p>
    <w:p>
      <w:pPr>
        <w:spacing w:line="900" w:lineRule="auto"/>
        <w:ind w:firstLine="1079" w:firstLineChars="384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杨皓翔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组号：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>2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 xml:space="preserve"> </w:t>
      </w:r>
    </w:p>
    <w:p>
      <w:pPr>
        <w:spacing w:line="900" w:lineRule="auto"/>
        <w:ind w:firstLine="1079" w:firstLineChars="384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2023150139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 xml:space="preserve"> 实验地点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致原楼214</w:t>
      </w:r>
      <w:r>
        <w:rPr>
          <w:rFonts w:hint="eastAsia"/>
          <w:b/>
          <w:sz w:val="28"/>
          <w:u w:val="single"/>
        </w:rPr>
        <w:t xml:space="preserve">    </w:t>
      </w:r>
    </w:p>
    <w:p>
      <w:pPr>
        <w:spacing w:line="900" w:lineRule="auto"/>
        <w:ind w:firstLine="1079" w:firstLineChars="384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>2024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19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 xml:space="preserve">日 </w:t>
      </w:r>
    </w:p>
    <w:p>
      <w:pPr>
        <w:spacing w:line="900" w:lineRule="auto"/>
        <w:ind w:left="899" w:firstLine="180" w:firstLineChars="64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>提交时间：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  <w:lang w:val="en-US" w:eastAsia="zh-CN"/>
        </w:rPr>
        <w:t>2024年6月26日</w:t>
      </w:r>
      <w:r>
        <w:rPr>
          <w:rFonts w:hint="eastAsia"/>
          <w:b/>
          <w:sz w:val="28"/>
          <w:u w:val="single"/>
        </w:rPr>
        <w:t xml:space="preserve">                           </w:t>
      </w:r>
    </w:p>
    <w:p>
      <w:pPr>
        <w:rPr>
          <w:rFonts w:hint="eastAsia"/>
          <w:b/>
          <w:sz w:val="28"/>
          <w:szCs w:val="28"/>
          <w:u w:val="single"/>
        </w:rPr>
      </w:pPr>
    </w:p>
    <w:p>
      <w:pPr>
        <w:rPr>
          <w:rFonts w:hint="eastAsia"/>
          <w:b/>
          <w:sz w:val="28"/>
          <w:szCs w:val="28"/>
          <w:u w:val="single"/>
        </w:rPr>
      </w:pPr>
    </w:p>
    <w:p>
      <w:pPr>
        <w:rPr>
          <w:rFonts w:hint="eastAsia"/>
          <w:b/>
          <w:sz w:val="28"/>
          <w:szCs w:val="28"/>
          <w:u w:val="single"/>
        </w:rPr>
      </w:pPr>
    </w:p>
    <w:tbl>
      <w:tblPr>
        <w:tblStyle w:val="6"/>
        <w:tblW w:w="97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9720" w:type="dxa"/>
            <w:noWrap w:val="0"/>
            <w:vAlign w:val="top"/>
          </w:tcPr>
          <w:p>
            <w:pPr>
              <w:rPr>
                <w:rFonts w:hint="eastAsia" w:ascii="Times New Roman" w:hAnsi="Times New Roman" w:eastAsia="黑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8"/>
                <w:szCs w:val="28"/>
                <w:lang w:val="en-US" w:eastAsia="zh-CN"/>
              </w:rPr>
              <w:br w:type="page"/>
            </w:r>
            <w:r>
              <w:rPr>
                <w:rFonts w:hint="eastAsia" w:ascii="Times New Roman" w:hAnsi="Times New Roman" w:eastAsia="黑体" w:cs="Times New Roman"/>
                <w:sz w:val="28"/>
                <w:szCs w:val="28"/>
                <w:lang w:val="en-US" w:eastAsia="zh-CN"/>
              </w:rPr>
              <w:t>一、实验目的</w:t>
            </w:r>
          </w:p>
          <w:p>
            <w:pP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>1.了解金属箔式应变片的应变效应</w:t>
            </w:r>
          </w:p>
          <w:p>
            <w:pP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>2.学习单臂电桥、半桥、全桥的工作原理</w:t>
            </w:r>
          </w:p>
          <w:p>
            <w:pP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>3.了解差动放大器的工作原理</w:t>
            </w:r>
          </w:p>
          <w:p>
            <w:pP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>4.设计电子秤系统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9720" w:type="dxa"/>
            <w:noWrap w:val="0"/>
            <w:vAlign w:val="top"/>
          </w:tcPr>
          <w:p>
            <w:pPr>
              <w:rPr>
                <w:rFonts w:hint="eastAsia" w:ascii="Times New Roman" w:hAnsi="Times New Roman" w:eastAsia="黑体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8"/>
                <w:szCs w:val="28"/>
                <w:lang w:val="en-US" w:eastAsia="zh-CN"/>
              </w:rPr>
              <w:t>二、实验原理</w:t>
            </w:r>
          </w:p>
          <w:p>
            <w:pP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>2.1金属电阻的应变效应：</w:t>
            </w:r>
          </w:p>
          <w:p>
            <w:pPr>
              <w:rPr>
                <w:rFonts w:hint="default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lang w:val="en-US" w:eastAsia="zh-CN"/>
              </w:rPr>
              <w:t>金属丝在外力作用下发生机械形变时，其电阻值会发生变化</w:t>
            </w:r>
          </w:p>
          <w:p>
            <w:pPr>
              <w:rPr>
                <w:rFonts w:hint="default" w:ascii="Times New Roman" w:hAnsi="Times New Roman" w:eastAsia="黑体" w:cs="Times New Roman"/>
                <w:sz w:val="24"/>
                <w:lang w:val="en-US" w:eastAsia="zh-CN"/>
              </w:rPr>
            </w:pPr>
          </w:p>
          <w:p>
            <w:pP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>2.2应变桥工作原理：</w:t>
            </w:r>
          </w:p>
          <w:p>
            <w:pPr>
              <w:rPr>
                <w:rFonts w:hint="default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lang w:val="en-US" w:eastAsia="zh-CN"/>
              </w:rPr>
              <w:t>在电桥两端加上电压U，通过测量两对桥臂中间节点之间的电压差ΔU，来确定电阻的微小变化。本实验中四个电阻（包括应变片在平衡电阻）接近相等，即，</w:t>
            </w:r>
          </w:p>
          <w:p>
            <w:pPr>
              <w:rPr>
                <w:rFonts w:hint="default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lang w:val="en-US" w:eastAsia="zh-CN"/>
              </w:rPr>
              <w:t xml:space="preserve">        R1=R2=R3=R4=R               (1)</w:t>
            </w:r>
          </w:p>
          <w:p>
            <w:pPr>
              <w:rPr>
                <w:rFonts w:hint="default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lang w:val="en-US" w:eastAsia="zh-CN"/>
              </w:rPr>
              <w:t>当四个应变片都接入电桥时，电子秤模块上放置砝码后，电阻R1和R3增大，R2和R4减小。因此，为了让ΔU能准确衡量电阻的变化，需要将一增一减的两个电阻接在相邻的桥臂上，同时增加（或减小）的两个电阻接在相对的桥臂上，如图所示。则有：</w:t>
            </w:r>
          </w:p>
          <w:p>
            <w:pPr>
              <w:rPr>
                <w:rFonts w:hint="default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lang w:val="en-US" w:eastAsia="zh-CN"/>
              </w:rPr>
              <w:t xml:space="preserve">       ΔU=U(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R1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R1+R2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</m:oMath>
            <w:r>
              <w:rPr>
                <w:rFonts w:hint="eastAsia" w:hAnsi="Times New Roman" w:cs="Times New Roman"/>
                <w:i w:val="0"/>
                <w:sz w:val="24"/>
                <w:lang w:val="en-US" w:eastAsia="zh-CN"/>
              </w:rPr>
              <w:t xml:space="preserve"> -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R3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R3+R4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</m:oMath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>)</w:t>
            </w:r>
            <w:r>
              <w:rPr>
                <w:rFonts w:hint="default" w:ascii="Times New Roman" w:hAnsi="Times New Roman" w:eastAsia="黑体" w:cs="Times New Roman"/>
                <w:sz w:val="24"/>
                <w:lang w:val="en-US" w:eastAsia="zh-CN"/>
              </w:rPr>
              <w:t xml:space="preserve">                (2)</w:t>
            </w:r>
          </w:p>
          <w:p>
            <w:pP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lang w:val="en-US" w:eastAsia="zh-CN"/>
              </w:rPr>
              <w:t>理想情况下放置砝码前ΔU=0V。</w:t>
            </w:r>
          </w:p>
          <w:p>
            <w:pP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>假设放置砝码后，电阻的变化量为ΔR, (0&lt;ΔR≪R), 则，</w:t>
            </w:r>
          </w:p>
          <w:p>
            <w:pP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 xml:space="preserve">         ΔR1=ΔR3=ΔR, ΔR2=ΔR4=−ΔR                          (3)</w:t>
            </w:r>
          </w:p>
          <w:p>
            <w:pP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>结合(2)式，考虑单臂、双臂和全臂电桥三种情况下ΔU与ΔR的关系。其中单臂桥指只接入一个应变片电阻，双臂桥的相邻两臂接入应变片，全臂桥指四个电阻均接入应变片。</w:t>
            </w:r>
          </w:p>
          <w:p>
            <w:pP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 xml:space="preserve">1. 单臂电桥：R4=R4+ΔR4, </w:t>
            </w:r>
          </w:p>
          <w:p>
            <w:pP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 xml:space="preserve">         ΔU=U(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</m:oMath>
            <w:r>
              <w:rPr>
                <w:rFonts w:hint="eastAsia" w:hAnsi="Cambria Math" w:cs="Times New Roman"/>
                <w:i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 xml:space="preserve">−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R−</m:t>
                  </m:r>
                  <m:r>
                    <m:rPr/>
                    <w:rPr>
                      <w:rFonts w:ascii="Cambria Math" w:hAnsi="Cambria Math" w:cs="Times New Roman"/>
                      <w:sz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2R−</m:t>
                  </m:r>
                  <m:r>
                    <m:rPr/>
                    <w:rPr>
                      <w:rFonts w:ascii="Cambria Math" w:hAnsi="Cambria Math" w:cs="Times New Roman"/>
                      <w:sz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</m:oMath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>)=U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2(2R−</m:t>
                  </m:r>
                  <m:r>
                    <m:rPr/>
                    <w:rPr>
                      <w:rFonts w:ascii="Cambria Math" w:hAnsi="Cambria Math" w:cs="Times New Roman"/>
                      <w:sz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R)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</m:oMath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>≈U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4R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</m:oMath>
          </w:p>
          <w:p>
            <w:pP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 xml:space="preserve">2. 双臂电桥：R3=R3+ΔR3, R4=R4+ΔR4, </w:t>
            </w:r>
          </w:p>
          <w:p>
            <w:pP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 xml:space="preserve">         ΔU=U(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</m:oMath>
            <w:r>
              <w:rPr>
                <w:rFonts w:hint="eastAsia" w:hAnsi="Cambria Math" w:cs="Times New Roman"/>
                <w:i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 xml:space="preserve">−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R−</m:t>
                  </m:r>
                  <m:r>
                    <m:rPr/>
                    <w:rPr>
                      <w:rFonts w:ascii="Cambria Math" w:hAnsi="Cambria Math" w:cs="Times New Roman"/>
                      <w:sz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2R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</m:oMath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>)=U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2R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</m:oMath>
          </w:p>
          <w:p>
            <w:pP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 xml:space="preserve">3. 全臂电桥：R1=R1+ΔR1, R2=R2+ΔR2, R3=R3+ΔR3, R4=R4+ΔR4, </w:t>
            </w:r>
          </w:p>
          <w:p>
            <w:pP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 xml:space="preserve">         ΔU=U(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Times New Roman" w:hAnsi="Times New Roman" w:eastAsia="黑体" w:cs="Times New Roman"/>
                      <w:sz w:val="24"/>
                      <w:lang w:val="en-US" w:eastAsia="zh-CN"/>
                    </w:rPr>
                    <m:t>R+ΔR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2R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</m:oMath>
            <w:r>
              <w:rPr>
                <w:rFonts w:hint="eastAsia" w:hAnsi="Cambria Math" w:cs="Times New Roman"/>
                <w:i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 xml:space="preserve">−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Times New Roman" w:hAnsi="Times New Roman" w:eastAsia="黑体" w:cs="Times New Roman"/>
                      <w:sz w:val="24"/>
                      <w:lang w:val="en-US" w:eastAsia="zh-CN"/>
                    </w:rPr>
                    <m:t>R−ΔR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2R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</m:oMath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>)=U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2R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</m:oMath>
          </w:p>
          <w:p>
            <w:pP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>四个电阻的阻值不是绝对相等，因此ΔU可写为，</w:t>
            </w:r>
          </w:p>
          <w:p>
            <w:pP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 xml:space="preserve">         ΔU=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4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</m:oMath>
            <w:r>
              <w:rPr>
                <w:rFonts w:hint="eastAsia" w:hAnsi="Cambria Math" w:cs="Times New Roman"/>
                <w:i w:val="0"/>
                <w:sz w:val="24"/>
                <w:lang w:val="en-US" w:eastAsia="zh-CN"/>
              </w:rPr>
              <w:t>(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R1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R1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</m:oMath>
            <w:r>
              <w:rPr>
                <w:rFonts w:hint="eastAsia" w:hAnsi="Cambria Math" w:cs="Times New Roman"/>
                <w:i w:val="0"/>
                <w:sz w:val="24"/>
                <w:lang w:val="en-US" w:eastAsia="zh-CN"/>
              </w:rPr>
              <w:t xml:space="preserve"> -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R2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R2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</m:oMath>
            <w:r>
              <w:rPr>
                <w:rFonts w:hint="eastAsia" w:hAnsi="Cambria Math" w:cs="Times New Roman"/>
                <w:i w:val="0"/>
                <w:sz w:val="24"/>
                <w:lang w:val="en-US" w:eastAsia="zh-CN"/>
              </w:rPr>
              <w:t xml:space="preserve"> -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R3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R3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</m:oMath>
            <w:r>
              <w:rPr>
                <w:rFonts w:hint="eastAsia" w:hAnsi="Cambria Math" w:cs="Times New Roman"/>
                <w:i w:val="0"/>
                <w:sz w:val="24"/>
                <w:lang w:val="en-US" w:eastAsia="zh-CN"/>
              </w:rPr>
              <w:t xml:space="preserve"> -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ascii="Cambria Math" w:hAnsi="Cambria Math" w:cs="Times New Roman"/>
                      <w:sz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R4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lang w:val="en-US" w:eastAsia="zh-CN"/>
                    </w:rPr>
                    <m:t>R4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den>
              </m:f>
            </m:oMath>
            <w:r>
              <w:rPr>
                <w:rFonts w:hint="eastAsia" w:hAnsi="Cambria Math" w:cs="Times New Roman"/>
                <w:i w:val="0"/>
                <w:sz w:val="24"/>
                <w:lang w:val="en-US" w:eastAsia="zh-CN"/>
              </w:rPr>
              <w:t>)</w:t>
            </w:r>
          </w:p>
          <w:p>
            <w:pP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24"/>
                <w:lang w:val="en-US" w:eastAsia="zh-CN"/>
              </w:rPr>
              <w:drawing>
                <wp:inline distT="0" distB="0" distL="114300" distR="114300">
                  <wp:extent cx="2185035" cy="1440180"/>
                  <wp:effectExtent l="0" t="0" r="12065" b="7620"/>
                  <wp:docPr id="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1166" t="15616" b="10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035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9720" w:type="dxa"/>
            <w:noWrap w:val="0"/>
            <w:vAlign w:val="top"/>
          </w:tcPr>
          <w:p>
            <w:pP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8"/>
                <w:szCs w:val="28"/>
                <w:lang w:val="en-US" w:eastAsia="zh-CN"/>
              </w:rPr>
              <w:t>三、实验仪器</w:t>
            </w: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>：</w:t>
            </w:r>
          </w:p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>直流恒压源、九孔板1块、电子秤模块1个、差动放大器模块1个、22KΩ电位器模块1个、1KΩ电阻模块一个、350Ω电阻模块3个、应变片转接盒模块4个、短接片2个、万用表1个、20g砝码6个、导线若干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720" w:type="dxa"/>
            <w:noWrap w:val="0"/>
            <w:vAlign w:val="top"/>
          </w:tcPr>
          <w:p>
            <w:pPr>
              <w:rPr>
                <w:rFonts w:hint="eastAsia" w:eastAsia="黑体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>四、实验内容：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</w:pPr>
            <w:r>
              <w:rPr>
                <w:rFonts w:hint="eastAsia" w:eastAsia="黑体" w:cs="Times New Roman"/>
                <w:sz w:val="24"/>
                <w:lang w:val="en-US" w:eastAsia="zh-CN"/>
              </w:rPr>
              <w:t>（1）</w:t>
            </w: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>单臂电桥</w:t>
            </w:r>
            <w:r>
              <w:rPr>
                <w:rFonts w:hint="eastAsia" w:eastAsia="黑体" w:cs="Times New Roman"/>
                <w:sz w:val="24"/>
                <w:lang w:val="en-US" w:eastAsia="zh-CN"/>
              </w:rPr>
              <w:t>：</w:t>
            </w:r>
          </w:p>
          <w:p>
            <w:pPr>
              <w:numPr>
                <w:ilvl w:val="0"/>
                <w:numId w:val="1"/>
              </w:numPr>
              <w:rPr>
                <w:rFonts w:hint="default" w:eastAsia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4"/>
                <w:lang w:val="en-US" w:eastAsia="zh-CN"/>
              </w:rPr>
              <w:t>把元件插在九孔板上：</w:t>
            </w:r>
            <w:r>
              <w:rPr>
                <w:rFonts w:hint="default" w:eastAsia="黑体"/>
                <w:sz w:val="24"/>
                <w:lang w:val="en-US" w:eastAsia="zh-CN"/>
              </w:rPr>
              <w:t>把电位器、差动放大器，电阻和应变片转接盒按右图所示插在九孔板上，注意22K电位器的滑动端与1K电阻相连，电桥只有一个臂（R4位置）接入应变片；</w:t>
            </w:r>
          </w:p>
          <w:p>
            <w:pPr>
              <w:numPr>
                <w:ilvl w:val="0"/>
                <w:numId w:val="0"/>
              </w:numPr>
              <w:rPr>
                <w:rFonts w:hint="default" w:eastAsia="黑体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2"/>
              </w:num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连线：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2.1.把22K电位器的固定电阻的两端接到电源的±4V电压接口上；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2.2.把电桥两端也接到±4V电压接口上（为了让ΔU 为正，电桥的上端接+4V，下端接−4V）；</w:t>
            </w:r>
          </w:p>
          <w:p>
            <w:pPr>
              <w:numPr>
                <w:ilvl w:val="0"/>
                <w:numId w:val="0"/>
              </w:numPr>
              <w:rPr>
                <w:rFonts w:hint="eastAsia" w:eastAsia="黑体"/>
                <w:color w:val="FF0000"/>
                <w:sz w:val="24"/>
                <w:highlight w:val="none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2.3.把差动放大器的V+和V-两处分别接到电源的+15V和−15V电压接口，</w:t>
            </w:r>
            <w:r>
              <w:rPr>
                <w:rFonts w:hint="eastAsia" w:eastAsia="黑体"/>
                <w:color w:val="FF0000"/>
                <w:sz w:val="24"/>
                <w:highlight w:val="none"/>
                <w:lang w:val="en-US" w:eastAsia="zh-CN"/>
              </w:rPr>
              <w:t>注意这里不可以反接；</w:t>
            </w:r>
          </w:p>
          <w:p>
            <w:pPr>
              <w:numPr>
                <w:ilvl w:val="0"/>
                <w:numId w:val="0"/>
              </w:num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2.4.把±4V和±15V电源的地线接到差动放大器的接地端；</w:t>
            </w:r>
          </w:p>
          <w:p>
            <w:pPr>
              <w:numPr>
                <w:ilvl w:val="0"/>
                <w:numId w:val="0"/>
              </w:num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2.5.把R4位置的应变片转接盒接到电子秤模块的R4上；</w:t>
            </w:r>
          </w:p>
          <w:p>
            <w:pPr>
              <w:numPr>
                <w:ilvl w:val="0"/>
                <w:numId w:val="0"/>
              </w:num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2.6.把万用表的地线接到差动放大器的地线端，万用表的火线接到差动放大器的输出端V0；</w:t>
            </w:r>
          </w:p>
          <w:p>
            <w:pPr>
              <w:numPr>
                <w:ilvl w:val="0"/>
                <w:numId w:val="0"/>
              </w:numPr>
              <w:rPr>
                <w:rFonts w:hint="eastAsia" w:eastAsia="黑体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3. 差动放大器调零：</w:t>
            </w:r>
          </w:p>
          <w:p>
            <w:pPr>
              <w:numPr>
                <w:ilvl w:val="0"/>
                <w:numId w:val="0"/>
              </w:num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3.1.把差动放大器的VP和VN两接口短接，把增益调到最大；</w:t>
            </w:r>
          </w:p>
          <w:p>
            <w:pPr>
              <w:numPr>
                <w:ilvl w:val="0"/>
                <w:numId w:val="0"/>
              </w:num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3.2.把万用表调到直流电压2V量程（如果显示超量程就先用20V）；</w:t>
            </w:r>
          </w:p>
          <w:p>
            <w:pPr>
              <w:numPr>
                <w:ilvl w:val="0"/>
                <w:numId w:val="0"/>
              </w:num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3.3.调节差动放大器的调零旋钮，使万用表测得的电压V0的值接近0V，小于1mV即可视为已调零；</w:t>
            </w:r>
          </w:p>
          <w:p>
            <w:pPr>
              <w:numPr>
                <w:ilvl w:val="0"/>
                <w:numId w:val="0"/>
              </w:numPr>
              <w:rPr>
                <w:rFonts w:hint="eastAsia" w:eastAsia="黑体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4.调节电桥平衡：</w:t>
            </w:r>
          </w:p>
          <w:p>
            <w:pPr>
              <w:numPr>
                <w:ilvl w:val="0"/>
                <w:numId w:val="0"/>
              </w:num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4.1.差动放大器调零后，把差动放大器的VP和VN接口分别接到电桥右臂和左臂的中点，用转接盒连接（ VP和VN分别接右侧和左侧，是为了使ΔU为正，便于记录）；</w:t>
            </w:r>
          </w:p>
          <w:p>
            <w:pPr>
              <w:numPr>
                <w:ilvl w:val="0"/>
                <w:numId w:val="0"/>
              </w:num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4.2.调节22K电位器，使万用表的测得的电压值接近0V，小于5mV即可视为已调零，可近似认为电桥平衡；</w:t>
            </w:r>
          </w:p>
          <w:p>
            <w:pPr>
              <w:numPr>
                <w:ilvl w:val="0"/>
                <w:numId w:val="0"/>
              </w:numPr>
              <w:rPr>
                <w:rFonts w:hint="eastAsia" w:eastAsia="黑体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5.测量差动放大器输出电压ΔU与砝码个数的关系：</w:t>
            </w:r>
          </w:p>
          <w:p>
            <w:pPr>
              <w:numPr>
                <w:ilvl w:val="0"/>
                <w:numId w:val="0"/>
              </w:num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5.1.电桥平衡后，记录此时的电压值，即0个砝码时的ΔU，填入表1；</w:t>
            </w:r>
          </w:p>
          <w:p>
            <w:pPr>
              <w:numPr>
                <w:ilvl w:val="0"/>
                <w:numId w:val="0"/>
              </w:num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5.2.逐个增加砝码，记录对应的ΔU，填入表格1；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（2）双臂电桥：</w:t>
            </w:r>
          </w:p>
          <w:p>
            <w:pPr>
              <w:numPr>
                <w:ilvl w:val="0"/>
                <w:numId w:val="0"/>
              </w:numPr>
              <w:rPr>
                <w:rFonts w:hint="default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1.</w:t>
            </w:r>
            <w:r>
              <w:rPr>
                <w:rFonts w:hint="default" w:eastAsia="黑体"/>
                <w:sz w:val="24"/>
                <w:lang w:val="en-US" w:eastAsia="zh-CN"/>
              </w:rPr>
              <w:t>在单臂电桥电路的基础上，把R3替换为应变片电阻R3；</w:t>
            </w:r>
          </w:p>
          <w:p>
            <w:pPr>
              <w:numPr>
                <w:ilvl w:val="0"/>
                <w:numId w:val="0"/>
              </w:numPr>
              <w:rPr>
                <w:rFonts w:hint="default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2.</w:t>
            </w:r>
            <w:r>
              <w:rPr>
                <w:rFonts w:hint="default" w:eastAsia="黑体"/>
                <w:sz w:val="24"/>
                <w:lang w:val="en-US" w:eastAsia="zh-CN"/>
              </w:rPr>
              <w:t>按单臂电桥步骤的第4.2步调节电桥平衡；</w:t>
            </w:r>
          </w:p>
          <w:p>
            <w:pPr>
              <w:numPr>
                <w:ilvl w:val="0"/>
                <w:numId w:val="0"/>
              </w:numPr>
              <w:rPr>
                <w:rFonts w:hint="default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3.</w:t>
            </w:r>
            <w:r>
              <w:rPr>
                <w:rFonts w:hint="default" w:eastAsia="黑体"/>
                <w:sz w:val="24"/>
                <w:lang w:val="en-US" w:eastAsia="zh-CN"/>
              </w:rPr>
              <w:t>测量ΔU与砝码个数的关系，记录表格2；</w:t>
            </w:r>
          </w:p>
          <w:p>
            <w:pPr>
              <w:numPr>
                <w:ilvl w:val="0"/>
                <w:numId w:val="0"/>
              </w:numPr>
              <w:rPr>
                <w:rFonts w:hint="default" w:eastAsia="黑体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（3）全臂电桥：</w:t>
            </w:r>
          </w:p>
          <w:p>
            <w:pPr>
              <w:numPr>
                <w:ilvl w:val="0"/>
                <w:numId w:val="0"/>
              </w:numPr>
              <w:rPr>
                <w:rFonts w:hint="default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1.</w:t>
            </w:r>
            <w:r>
              <w:rPr>
                <w:rFonts w:hint="default" w:eastAsia="黑体"/>
                <w:sz w:val="24"/>
                <w:lang w:val="en-US" w:eastAsia="zh-CN"/>
              </w:rPr>
              <w:t>在双臂电桥电路的基础上，把R1和R2替换为应变片电阻的R1和R2；</w:t>
            </w:r>
          </w:p>
          <w:p>
            <w:pPr>
              <w:numPr>
                <w:ilvl w:val="0"/>
                <w:numId w:val="0"/>
              </w:numPr>
              <w:rPr>
                <w:rFonts w:hint="default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2.</w:t>
            </w:r>
            <w:r>
              <w:rPr>
                <w:rFonts w:hint="default" w:eastAsia="黑体"/>
                <w:sz w:val="24"/>
                <w:lang w:val="en-US" w:eastAsia="zh-CN"/>
              </w:rPr>
              <w:t>按相同方法调节电桥平衡；</w:t>
            </w:r>
          </w:p>
          <w:p>
            <w:pPr>
              <w:numPr>
                <w:ilvl w:val="0"/>
                <w:numId w:val="0"/>
              </w:numPr>
              <w:rPr>
                <w:rFonts w:hint="default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3.</w:t>
            </w:r>
            <w:r>
              <w:rPr>
                <w:rFonts w:hint="default" w:eastAsia="黑体"/>
                <w:sz w:val="24"/>
                <w:lang w:val="en-US" w:eastAsia="zh-CN"/>
              </w:rPr>
              <w:t>测量ΔU与砝码个数的关系，记录表格3；</w:t>
            </w:r>
          </w:p>
          <w:p>
            <w:pPr>
              <w:numPr>
                <w:ilvl w:val="0"/>
                <w:numId w:val="0"/>
              </w:numPr>
              <w:rPr>
                <w:rFonts w:hint="default" w:eastAsia="黑体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eastAsia="黑体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 w:eastAsia="黑体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eastAsia="黑体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9" w:hRule="atLeast"/>
        </w:trPr>
        <w:tc>
          <w:tcPr>
            <w:tcW w:w="9720" w:type="dxa"/>
            <w:noWrap w:val="0"/>
            <w:vAlign w:val="top"/>
          </w:tcPr>
          <w:p>
            <w:pPr>
              <w:spacing w:line="360" w:lineRule="auto"/>
              <w:rPr>
                <w:rFonts w:hint="eastAsia"/>
                <w:sz w:val="28"/>
                <w:szCs w:val="28"/>
              </w:rPr>
            </w:pPr>
            <w:r>
              <w:rPr>
                <w:rFonts w:hint="eastAsia" w:eastAsia="黑体"/>
                <w:sz w:val="28"/>
                <w:szCs w:val="28"/>
              </w:rPr>
              <w:t>五、数据记录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360" w:lineRule="auto"/>
              <w:ind w:firstLine="420" w:firstLineChars="200"/>
              <w:rPr>
                <w:rFonts w:hint="eastAsia" w:ascii="宋体" w:hAnsi="宋体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>组号：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color w:val="003366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color w:val="003366"/>
                <w:szCs w:val="21"/>
                <w:u w:val="single"/>
                <w:lang w:val="en-US" w:eastAsia="zh-CN"/>
              </w:rPr>
              <w:t>2</w:t>
            </w:r>
            <w:r>
              <w:rPr>
                <w:rFonts w:hint="eastAsia" w:ascii="宋体" w:hAnsi="宋体"/>
                <w:color w:val="003366"/>
                <w:szCs w:val="21"/>
                <w:u w:val="single"/>
              </w:rPr>
              <w:t xml:space="preserve">    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 xml:space="preserve"> ；姓名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>杨皓翔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</w:t>
            </w:r>
          </w:p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表</w:t>
            </w:r>
            <w:r>
              <w:rPr>
                <w:b/>
                <w:bCs/>
                <w:sz w:val="24"/>
                <w:szCs w:val="24"/>
              </w:rPr>
              <w:t xml:space="preserve">1 </w:t>
            </w:r>
            <w:r>
              <w:rPr>
                <w:rFonts w:hint="eastAsia"/>
                <w:b/>
                <w:bCs/>
                <w:sz w:val="24"/>
                <w:szCs w:val="24"/>
              </w:rPr>
              <w:t>单臂电桥的数据记录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注：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el-GR"/>
                </w:rPr>
                <m:t>Δ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oMath>
            <w:r>
              <w:rPr>
                <w:rFonts w:hint="eastAsia"/>
                <w:b/>
                <w:bCs/>
              </w:rPr>
              <w:t>平均</w:t>
            </w:r>
            <w:r>
              <w:rPr>
                <w:rFonts w:hint="eastAsia"/>
                <w:b/>
                <w:bCs/>
                <w:lang w:val="en-US" w:eastAsia="zh-CN"/>
              </w:rPr>
              <w:t>值取了绝对值）</w:t>
            </w:r>
          </w:p>
          <w:tbl>
            <w:tblPr>
              <w:tblStyle w:val="6"/>
              <w:tblW w:w="8106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91"/>
              <w:gridCol w:w="916"/>
              <w:gridCol w:w="916"/>
              <w:gridCol w:w="917"/>
              <w:gridCol w:w="916"/>
              <w:gridCol w:w="917"/>
              <w:gridCol w:w="916"/>
              <w:gridCol w:w="917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33" w:hRule="atLeast"/>
              </w:trPr>
              <w:tc>
                <w:tcPr>
                  <w:tcW w:w="169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hint="eastAsia"/>
                      <w:b/>
                      <w:bCs/>
                    </w:rPr>
                    <w:t>砝码个数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>0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>5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>6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99" w:hRule="atLeast"/>
              </w:trPr>
              <w:tc>
                <w:tcPr>
                  <w:tcW w:w="169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hint="eastAsia"/>
                      <w:b/>
                      <w:bCs/>
                    </w:rPr>
                    <w:t xml:space="preserve">砝码质量 </w:t>
                  </w:r>
                  <w:r>
                    <w:rPr>
                      <w:b/>
                      <w:bCs/>
                    </w:rPr>
                    <w:t>(g)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t>20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t>40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t>60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t>80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t>100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t>120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84" w:hRule="atLeast"/>
              </w:trPr>
              <w:tc>
                <w:tcPr>
                  <w:tcW w:w="169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l-GR"/>
                      </w:rPr>
                      <m:t>Δ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U(mV)</m:t>
                    </m:r>
                  </m:oMath>
                  <w:r>
                    <w:rPr>
                      <w:rFonts w:hint="eastAsia"/>
                      <w:b/>
                      <w:bCs/>
                    </w:rPr>
                    <w:t>上行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2.37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-7.57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-17.48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-27.33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-37.35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-47.25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-57.14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84" w:hRule="atLeast"/>
              </w:trPr>
              <w:tc>
                <w:tcPr>
                  <w:tcW w:w="169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l-GR"/>
                      </w:rPr>
                      <m:t>Δ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U(mV)</m:t>
                    </m:r>
                  </m:oMath>
                  <w:r>
                    <w:rPr>
                      <w:rFonts w:hint="eastAsia"/>
                      <w:b/>
                      <w:bCs/>
                    </w:rPr>
                    <w:t>下行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2.00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-7.88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-17.72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-27.61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-37.51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-47.45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-57.28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84" w:hRule="atLeast"/>
              </w:trPr>
              <w:tc>
                <w:tcPr>
                  <w:tcW w:w="169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l-GR"/>
                      </w:rPr>
                      <m:t>Δ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U(mV)</m:t>
                    </m:r>
                  </m:oMath>
                  <w:r>
                    <w:rPr>
                      <w:rFonts w:hint="eastAsia"/>
                      <w:b/>
                      <w:bCs/>
                    </w:rPr>
                    <w:t>平均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2.19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7.73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17.60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27.47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/>
                      <w:lang w:val="en-US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37.43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47.35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57.21</w:t>
                  </w:r>
                </w:p>
              </w:tc>
            </w:tr>
          </w:tbl>
          <w:p>
            <w:pPr>
              <w:rPr>
                <w:rFonts w:hint="eastAsia"/>
                <w:b/>
                <w:bCs/>
              </w:rPr>
            </w:pPr>
          </w:p>
          <w:p>
            <w:pPr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表</w:t>
            </w:r>
            <w:r>
              <w:rPr>
                <w:b/>
                <w:bCs/>
                <w:sz w:val="24"/>
                <w:szCs w:val="24"/>
              </w:rPr>
              <w:t xml:space="preserve">2 </w:t>
            </w:r>
            <w:r>
              <w:rPr>
                <w:rFonts w:hint="eastAsia"/>
                <w:b/>
                <w:bCs/>
                <w:sz w:val="24"/>
                <w:szCs w:val="24"/>
              </w:rPr>
              <w:t>双臂电桥数据记录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注：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el-GR"/>
                </w:rPr>
                <m:t>Δ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oMath>
            <w:r>
              <w:rPr>
                <w:rFonts w:hint="eastAsia"/>
                <w:b/>
                <w:bCs/>
              </w:rPr>
              <w:t>平均</w:t>
            </w:r>
            <w:r>
              <w:rPr>
                <w:rFonts w:hint="eastAsia"/>
                <w:b/>
                <w:bCs/>
                <w:lang w:val="en-US" w:eastAsia="zh-CN"/>
              </w:rPr>
              <w:t>值取了绝对值）</w:t>
            </w:r>
          </w:p>
          <w:tbl>
            <w:tblPr>
              <w:tblStyle w:val="6"/>
              <w:tblW w:w="8106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91"/>
              <w:gridCol w:w="916"/>
              <w:gridCol w:w="916"/>
              <w:gridCol w:w="917"/>
              <w:gridCol w:w="916"/>
              <w:gridCol w:w="917"/>
              <w:gridCol w:w="916"/>
              <w:gridCol w:w="917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0" w:hRule="atLeast"/>
              </w:trPr>
              <w:tc>
                <w:tcPr>
                  <w:tcW w:w="169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hint="eastAsia"/>
                      <w:b/>
                      <w:bCs/>
                    </w:rPr>
                    <w:t>砝码个数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>0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>5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>6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43" w:hRule="atLeast"/>
              </w:trPr>
              <w:tc>
                <w:tcPr>
                  <w:tcW w:w="169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hint="eastAsia"/>
                      <w:b/>
                      <w:bCs/>
                    </w:rPr>
                    <w:t xml:space="preserve">砝码质量 </w:t>
                  </w:r>
                  <w:r>
                    <w:rPr>
                      <w:b/>
                      <w:bCs/>
                    </w:rPr>
                    <w:t>(g)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t>20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t>40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t>60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t>80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t>100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t>120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84" w:hRule="atLeast"/>
              </w:trPr>
              <w:tc>
                <w:tcPr>
                  <w:tcW w:w="169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l-GR"/>
                      </w:rPr>
                      <m:t>Δ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U(mV)</m:t>
                    </m:r>
                  </m:oMath>
                  <w:r>
                    <w:rPr>
                      <w:rFonts w:hint="eastAsia"/>
                      <w:b/>
                      <w:bCs/>
                    </w:rPr>
                    <w:t>上行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1.07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-18.51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-38.06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-57.62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-77.30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-97.00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-116.68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84" w:hRule="atLeast"/>
              </w:trPr>
              <w:tc>
                <w:tcPr>
                  <w:tcW w:w="169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l-GR"/>
                      </w:rPr>
                      <m:t>Δ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U(mV)</m:t>
                    </m:r>
                  </m:oMath>
                  <w:r>
                    <w:rPr>
                      <w:rFonts w:hint="eastAsia"/>
                      <w:b/>
                      <w:bCs/>
                    </w:rPr>
                    <w:t>下行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1.63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-18.01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-37.76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-57.40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-77.04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-96.86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-116.60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84" w:hRule="atLeast"/>
              </w:trPr>
              <w:tc>
                <w:tcPr>
                  <w:tcW w:w="169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l-GR"/>
                      </w:rPr>
                      <m:t>Δ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U(mV)</m:t>
                    </m:r>
                  </m:oMath>
                  <w:r>
                    <w:rPr>
                      <w:rFonts w:hint="eastAsia"/>
                      <w:b/>
                      <w:bCs/>
                    </w:rPr>
                    <w:t>平均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1.65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18.26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37.91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57.51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77.17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96.93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116.64</w:t>
                  </w:r>
                </w:p>
              </w:tc>
            </w:tr>
          </w:tbl>
          <w:p/>
          <w:p>
            <w:pPr>
              <w:rPr>
                <w:rFonts w:hint="eastAsia"/>
                <w:b/>
                <w:bCs/>
                <w:sz w:val="24"/>
                <w:szCs w:val="24"/>
              </w:rPr>
            </w:pP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表</w:t>
            </w:r>
            <w:r>
              <w:rPr>
                <w:b/>
                <w:bCs/>
                <w:sz w:val="24"/>
                <w:szCs w:val="24"/>
              </w:rPr>
              <w:t xml:space="preserve">3 </w:t>
            </w:r>
            <w:r>
              <w:rPr>
                <w:rFonts w:hint="eastAsia"/>
                <w:b/>
                <w:bCs/>
                <w:sz w:val="24"/>
                <w:szCs w:val="24"/>
              </w:rPr>
              <w:t>全臂电桥数据记录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注：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el-GR"/>
                </w:rPr>
                <m:t>Δ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oMath>
            <w:r>
              <w:rPr>
                <w:rFonts w:hint="eastAsia"/>
                <w:b/>
                <w:bCs/>
              </w:rPr>
              <w:t>平均</w:t>
            </w:r>
            <w:r>
              <w:rPr>
                <w:rFonts w:hint="eastAsia"/>
                <w:b/>
                <w:bCs/>
                <w:lang w:val="en-US" w:eastAsia="zh-CN"/>
              </w:rPr>
              <w:t>值取了绝对值）</w:t>
            </w:r>
          </w:p>
          <w:tbl>
            <w:tblPr>
              <w:tblStyle w:val="6"/>
              <w:tblW w:w="8106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91"/>
              <w:gridCol w:w="916"/>
              <w:gridCol w:w="916"/>
              <w:gridCol w:w="917"/>
              <w:gridCol w:w="916"/>
              <w:gridCol w:w="917"/>
              <w:gridCol w:w="916"/>
              <w:gridCol w:w="917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5" w:hRule="atLeast"/>
              </w:trPr>
              <w:tc>
                <w:tcPr>
                  <w:tcW w:w="169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hint="eastAsia"/>
                      <w:b/>
                      <w:bCs/>
                    </w:rPr>
                    <w:t>砝码个数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>0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>5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</w:rPr>
                    <w:t>6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44" w:hRule="atLeast"/>
              </w:trPr>
              <w:tc>
                <w:tcPr>
                  <w:tcW w:w="169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hint="eastAsia"/>
                      <w:b/>
                      <w:bCs/>
                    </w:rPr>
                    <w:t xml:space="preserve">砝码质量 </w:t>
                  </w:r>
                  <w:r>
                    <w:rPr>
                      <w:b/>
                      <w:bCs/>
                    </w:rPr>
                    <w:t>(g)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t>20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t>40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t>60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t>80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t>100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w:r>
                    <w:t>120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84" w:hRule="atLeast"/>
              </w:trPr>
              <w:tc>
                <w:tcPr>
                  <w:tcW w:w="169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l-GR"/>
                      </w:rPr>
                      <m:t>Δ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U(mV)</m:t>
                    </m:r>
                  </m:oMath>
                  <w:r>
                    <w:rPr>
                      <w:rFonts w:hint="eastAsia"/>
                      <w:b/>
                      <w:bCs/>
                    </w:rPr>
                    <w:t>上行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1.95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-36.67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-75.55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-114.38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-152.95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-191.50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-230.40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84" w:hRule="atLeast"/>
              </w:trPr>
              <w:tc>
                <w:tcPr>
                  <w:tcW w:w="169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l-GR"/>
                      </w:rPr>
                      <m:t>Δ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U(mV)</m:t>
                    </m:r>
                  </m:oMath>
                  <w:r>
                    <w:rPr>
                      <w:rFonts w:hint="eastAsia"/>
                      <w:b/>
                      <w:bCs/>
                    </w:rPr>
                    <w:t>下行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2.47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-36.15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-75.05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-113.84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-152.75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-191.46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-230.30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84" w:hRule="atLeast"/>
              </w:trPr>
              <w:tc>
                <w:tcPr>
                  <w:tcW w:w="1691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>
                  <w:pPr>
                    <w:jc w:val="center"/>
                  </w:pP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l-GR"/>
                      </w:rPr>
                      <m:t>Δ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U(mV)</m:t>
                    </m:r>
                  </m:oMath>
                  <w:r>
                    <w:rPr>
                      <w:rFonts w:hint="eastAsia"/>
                      <w:b/>
                      <w:bCs/>
                    </w:rPr>
                    <w:t>平均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2.21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36.41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75.30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114.11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152.85</w:t>
                  </w:r>
                </w:p>
              </w:tc>
              <w:tc>
                <w:tcPr>
                  <w:tcW w:w="916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191.48</w:t>
                  </w:r>
                </w:p>
              </w:tc>
              <w:tc>
                <w:tcPr>
                  <w:tcW w:w="917" w:type="dxa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shd w:val="clear" w:color="auto" w:fill="FFFFFF"/>
                  <w:tcMar>
                    <w:top w:w="10" w:type="dxa"/>
                    <w:left w:w="10" w:type="dxa"/>
                    <w:bottom w:w="0" w:type="dxa"/>
                    <w:right w:w="10" w:type="dxa"/>
                  </w:tcMar>
                  <w:vAlign w:val="center"/>
                </w:tcPr>
                <w:p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230.35</w:t>
                  </w:r>
                </w:p>
              </w:tc>
            </w:tr>
          </w:tbl>
          <w:p>
            <w:pPr>
              <w:spacing w:line="360" w:lineRule="auto"/>
              <w:rPr>
                <w:rFonts w:hint="eastAsia" w:eastAsia="黑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2" w:hRule="atLeast"/>
        </w:trPr>
        <w:tc>
          <w:tcPr>
            <w:tcW w:w="9720" w:type="dxa"/>
            <w:noWrap w:val="0"/>
            <w:vAlign w:val="top"/>
          </w:tcPr>
          <w:p>
            <w:pPr>
              <w:rPr>
                <w:rFonts w:hint="eastAsia" w:eastAsia="黑体"/>
                <w:b/>
                <w:sz w:val="24"/>
                <w:lang w:eastAsia="zh-CN"/>
              </w:rPr>
            </w:pPr>
            <w:r>
              <w:rPr>
                <w:rFonts w:hint="eastAsia" w:ascii="黑体" w:eastAsia="黑体"/>
                <w:b/>
                <w:sz w:val="28"/>
                <w:szCs w:val="28"/>
              </w:rPr>
              <w:t>六、数据处理</w:t>
            </w:r>
          </w:p>
          <w:p>
            <w:pPr>
              <w:rPr>
                <w:rFonts w:hint="eastAsia" w:ascii="黑体" w:hAnsi="黑体" w:eastAsia="黑体" w:cs="黑体"/>
                <w:lang w:val="en-US" w:eastAsia="zh-CN"/>
              </w:rPr>
            </w:pPr>
            <w:r>
              <w:drawing>
                <wp:inline distT="0" distB="0" distL="114300" distR="114300">
                  <wp:extent cx="4461510" cy="2545080"/>
                  <wp:effectExtent l="0" t="0" r="8890" b="762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1510" cy="254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由图可知，只把单臂接入应变片时，电桥的灵敏度约0.472 mV/g。电子秤的零点误差为-0.160 mV。</w:t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4521200" cy="2584450"/>
                  <wp:effectExtent l="0" t="0" r="0" b="635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200" cy="258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rPr>
                <w:rFonts w:hint="eastAsia" w:ascii="Times New Roman" w:hAnsi="Times New Roman" w:eastAsia="黑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sz w:val="21"/>
                <w:szCs w:val="21"/>
                <w:lang w:val="en-US" w:eastAsia="zh-CN"/>
              </w:rPr>
              <w:t xml:space="preserve">由图可知，把双臂接入应变片时，电桥的灵敏度约0.967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  <w:shd w:val="clear" w:fill="FFFFFF"/>
              </w:rPr>
              <w:t xml:space="preserve"> 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D0D0D"/>
                <w:spacing w:val="0"/>
                <w:sz w:val="16"/>
                <w:szCs w:val="16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sz w:val="21"/>
                <w:szCs w:val="21"/>
                <w:lang w:val="en-US" w:eastAsia="zh-CN"/>
              </w:rPr>
              <w:t>mV/g，约为单臂电桥灵敏度的</w:t>
            </w:r>
            <w:r>
              <w:rPr>
                <w:rFonts w:hint="eastAsia" w:eastAsia="黑体" w:cs="Times New Roman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黑体" w:cs="Times New Roman"/>
                <w:sz w:val="21"/>
                <w:szCs w:val="21"/>
                <w:lang w:val="en-US" w:eastAsia="zh-CN"/>
              </w:rPr>
              <w:t>倍。本次设计的电子秤的零点误差为-0.015</w:t>
            </w:r>
            <w:r>
              <w:rPr>
                <w:rFonts w:hint="eastAsia" w:eastAsia="黑体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sz w:val="21"/>
                <w:szCs w:val="21"/>
                <w:lang w:val="en-US" w:eastAsia="zh-CN"/>
              </w:rPr>
              <w:t>mV。</w:t>
            </w:r>
          </w:p>
          <w:p>
            <w:pPr>
              <w:rPr>
                <w:rFonts w:hint="eastAsia" w:eastAsia="黑体"/>
                <w:b/>
                <w:sz w:val="24"/>
              </w:rPr>
            </w:pPr>
            <w:r>
              <w:drawing>
                <wp:inline distT="0" distB="0" distL="114300" distR="114300">
                  <wp:extent cx="4572000" cy="2627630"/>
                  <wp:effectExtent l="0" t="0" r="0" b="127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62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rPr>
                <w:rFonts w:hint="eastAsia" w:eastAsia="黑体"/>
                <w:b/>
                <w:sz w:val="24"/>
              </w:rPr>
            </w:pPr>
            <w:r>
              <w:rPr>
                <w:rFonts w:hint="eastAsia" w:ascii="Times New Roman" w:hAnsi="Times New Roman" w:eastAsia="黑体" w:cs="Times New Roman"/>
                <w:sz w:val="21"/>
                <w:szCs w:val="21"/>
                <w:lang w:val="en-US" w:eastAsia="zh-CN"/>
              </w:rPr>
              <w:t>由图可知，全臂电桥的灵敏度1.914</w:t>
            </w:r>
            <w:r>
              <w:rPr>
                <w:rFonts w:hint="eastAsia" w:eastAsia="黑体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sz w:val="21"/>
                <w:szCs w:val="21"/>
                <w:lang w:val="en-US" w:eastAsia="zh-CN"/>
              </w:rPr>
              <w:t>mV/g，约为单臂电桥灵敏度的</w:t>
            </w:r>
            <w:r>
              <w:rPr>
                <w:rFonts w:hint="eastAsia" w:eastAsia="黑体" w:cs="Times New Roman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黑体" w:cs="Times New Roman"/>
                <w:sz w:val="21"/>
                <w:szCs w:val="21"/>
                <w:lang w:val="en-US" w:eastAsia="zh-CN"/>
              </w:rPr>
              <w:t>倍。本次设计的电子秤的零点误差为-0.196</w:t>
            </w:r>
            <w:r>
              <w:rPr>
                <w:rFonts w:hint="eastAsia" w:eastAsia="黑体" w:cs="Times New Roman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sz w:val="21"/>
                <w:szCs w:val="21"/>
                <w:lang w:val="en-US" w:eastAsia="zh-CN"/>
              </w:rPr>
              <w:t>mV。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8" w:hRule="atLeast"/>
        </w:trPr>
        <w:tc>
          <w:tcPr>
            <w:tcW w:w="9720" w:type="dxa"/>
            <w:noWrap w:val="0"/>
            <w:vAlign w:val="top"/>
          </w:tcPr>
          <w:p>
            <w:pPr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eastAsia="黑体"/>
                <w:b/>
                <w:sz w:val="28"/>
                <w:szCs w:val="28"/>
              </w:rPr>
              <w:t>七、结果陈述：</w:t>
            </w:r>
          </w:p>
          <w:p>
            <w:pPr>
              <w:ind w:firstLine="480" w:firstLineChars="200"/>
              <w:rPr>
                <w:rFonts w:hint="eastAsia" w:ascii="黑体" w:eastAsia="黑体"/>
                <w:b/>
                <w:sz w:val="24"/>
              </w:rPr>
            </w:pPr>
            <w:r>
              <w:rPr>
                <w:rFonts w:hint="eastAsia" w:ascii="黑体" w:hAnsi="Times New Roman" w:eastAsia="黑体" w:cs="Times New Roman"/>
                <w:b w:val="0"/>
                <w:bCs/>
                <w:sz w:val="24"/>
                <w:lang w:val="en-US" w:eastAsia="zh-CN"/>
              </w:rPr>
              <w:t>由数据分析可知，所有电桥实验中，放置砝码后，电桥输出电压ΔU发生明显变化。随着砝码个数的增加，ΔU</w:t>
            </w:r>
            <w:r>
              <w:rPr>
                <w:rFonts w:hint="eastAsia" w:ascii="黑体" w:eastAsia="黑体" w:cs="Times New Roman"/>
                <w:b w:val="0"/>
                <w:bCs/>
                <w:sz w:val="24"/>
                <w:lang w:val="en-US" w:eastAsia="zh-CN"/>
              </w:rPr>
              <w:t>的绝对值</w:t>
            </w:r>
            <w:r>
              <w:rPr>
                <w:rFonts w:hint="eastAsia" w:ascii="黑体" w:hAnsi="Times New Roman" w:eastAsia="黑体" w:cs="Times New Roman"/>
                <w:b w:val="0"/>
                <w:bCs/>
                <w:sz w:val="24"/>
                <w:lang w:val="en-US" w:eastAsia="zh-CN"/>
              </w:rPr>
              <w:t>呈现出线性增长的趋势，</w:t>
            </w:r>
            <w:r>
              <w:rPr>
                <w:rFonts w:hint="eastAsia" w:ascii="黑体" w:eastAsia="黑体" w:cs="Times New Roman"/>
                <w:b w:val="0"/>
                <w:bCs/>
                <w:sz w:val="24"/>
                <w:lang w:val="en-US" w:eastAsia="zh-CN"/>
              </w:rPr>
              <w:t>单臂电桥电压每次大约变化9mv，双臂18~20mv，全臂约40mv，</w:t>
            </w:r>
            <w:r>
              <w:rPr>
                <w:rFonts w:hint="eastAsia" w:ascii="黑体" w:hAnsi="Times New Roman" w:eastAsia="黑体" w:cs="Times New Roman"/>
                <w:b w:val="0"/>
                <w:bCs/>
                <w:sz w:val="24"/>
                <w:lang w:val="en-US" w:eastAsia="zh-CN"/>
              </w:rPr>
              <w:t>且各电桥的</w:t>
            </w:r>
            <w:r>
              <w:rPr>
                <w:rFonts w:hint="eastAsia" w:ascii="黑体" w:eastAsia="黑体" w:cs="Times New Roman"/>
                <w:b w:val="0"/>
                <w:bCs/>
                <w:sz w:val="24"/>
                <w:lang w:val="en-US" w:eastAsia="zh-CN"/>
              </w:rPr>
              <w:t>灵敏度</w:t>
            </w:r>
            <w:r>
              <w:rPr>
                <w:rFonts w:hint="eastAsia" w:ascii="黑体" w:hAnsi="Times New Roman" w:eastAsia="黑体" w:cs="Times New Roman"/>
                <w:b w:val="0"/>
                <w:bCs/>
                <w:sz w:val="24"/>
                <w:lang w:val="en-US" w:eastAsia="zh-CN"/>
              </w:rPr>
              <w:t>比较：全臂电桥&gt;双臂电桥&gt;单臂电桥。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9720" w:type="dxa"/>
            <w:noWrap w:val="0"/>
            <w:vAlign w:val="top"/>
          </w:tcPr>
          <w:p>
            <w:pPr>
              <w:rPr>
                <w:rFonts w:hint="eastAsia" w:eastAsia="黑体"/>
                <w:b/>
                <w:sz w:val="28"/>
                <w:szCs w:val="28"/>
              </w:rPr>
            </w:pPr>
            <w:r>
              <w:rPr>
                <w:rFonts w:hint="eastAsia" w:eastAsia="黑体"/>
                <w:b/>
                <w:sz w:val="28"/>
                <w:szCs w:val="28"/>
              </w:rPr>
              <w:t>八、实验总结与思考题</w:t>
            </w:r>
          </w:p>
          <w:p>
            <w:pPr>
              <w:ind w:left="0" w:leftChars="0" w:firstLine="480" w:firstLineChars="200"/>
              <w:jc w:val="left"/>
              <w:rPr>
                <w:rFonts w:hint="eastAsia" w:ascii="黑体" w:hAnsi="Times New Roman" w:eastAsia="黑体" w:cs="Times New Roman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黑体" w:hAnsi="Times New Roman" w:eastAsia="黑体" w:cs="Times New Roman"/>
                <w:b w:val="0"/>
                <w:bCs/>
                <w:sz w:val="24"/>
                <w:lang w:val="en-US" w:eastAsia="zh-CN"/>
              </w:rPr>
              <w:t>通过本次实验，我们成功实现了基于应变片的电子秤系统的设计，并掌握了应变片、电桥电路和差动放大器的工作原理及其在电子秤设计中的应用。实验结果表明，全臂电桥是设计高精度电子秤的理想选择。</w:t>
            </w:r>
            <w:bookmarkStart w:id="0" w:name="_GoBack"/>
            <w:bookmarkEnd w:id="0"/>
          </w:p>
          <w:p>
            <w:pPr>
              <w:rPr>
                <w:rFonts w:hint="eastAsia" w:eastAsia="黑体"/>
                <w:b/>
                <w:sz w:val="24"/>
                <w:lang w:val="en-US" w:eastAsia="zh-CN"/>
              </w:rPr>
            </w:pPr>
            <w:r>
              <w:rPr>
                <w:rFonts w:hint="eastAsia" w:eastAsia="黑体"/>
                <w:b/>
                <w:sz w:val="24"/>
                <w:lang w:val="en-US" w:eastAsia="zh-CN"/>
              </w:rPr>
              <w:t>思考题：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DFDFE"/>
              <w:spacing w:before="140" w:beforeAutospacing="0" w:after="0" w:afterAutospacing="0" w:line="18" w:lineRule="atLeast"/>
              <w:ind w:left="0" w:right="0" w:firstLine="0"/>
              <w:rPr>
                <w:rFonts w:hint="eastAsia" w:ascii="黑体" w:hAnsi="Times New Roman" w:eastAsia="黑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黑体"/>
                <w:b/>
                <w:sz w:val="24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黑体" w:cs="Times New Roman"/>
                <w:b/>
                <w:kern w:val="2"/>
                <w:sz w:val="24"/>
                <w:szCs w:val="24"/>
                <w:lang w:val="en-US" w:eastAsia="zh-CN" w:bidi="ar-SA"/>
              </w:rPr>
              <w:t>导致电子秤非线性误差增大的</w:t>
            </w:r>
            <w:r>
              <w:rPr>
                <w:rFonts w:hint="eastAsia" w:ascii="Times New Roman" w:hAnsi="Times New Roman" w:eastAsia="黑体" w:cs="Times New Roman"/>
                <w:b/>
                <w:kern w:val="2"/>
                <w:sz w:val="24"/>
                <w:szCs w:val="24"/>
                <w:lang w:val="en-US" w:eastAsia="zh-CN" w:bidi="ar-SA"/>
              </w:rPr>
              <w:t>可能</w:t>
            </w:r>
            <w:r>
              <w:rPr>
                <w:rFonts w:hint="default" w:ascii="Times New Roman" w:hAnsi="Times New Roman" w:eastAsia="黑体" w:cs="Times New Roman"/>
                <w:b/>
                <w:kern w:val="2"/>
                <w:sz w:val="24"/>
                <w:szCs w:val="24"/>
                <w:lang w:val="en-US" w:eastAsia="zh-CN" w:bidi="ar-SA"/>
              </w:rPr>
              <w:t>因素：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8" w:lineRule="atLeast"/>
              <w:ind w:left="425" w:leftChars="0" w:right="0" w:hanging="425" w:firstLineChars="0"/>
              <w:rPr>
                <w:rFonts w:hint="eastAsia" w:ascii="黑体" w:hAnsi="Times New Roman" w:eastAsia="黑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hAnsi="Times New Roman" w:eastAsia="黑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应变片的非线性特性：应变片本身可能存在一定的非线性特性，导致输出电阻与外力之间不是完全线性关系。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0" w:beforeAutospacing="0" w:after="0" w:afterAutospacing="0" w:line="18" w:lineRule="atLeast"/>
              <w:ind w:left="425" w:leftChars="0" w:right="0" w:hanging="425" w:firstLineChars="0"/>
              <w:rPr>
                <w:rFonts w:hint="default" w:ascii="黑体" w:hAnsi="Times New Roman" w:eastAsia="黑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hAnsi="Times New Roman" w:eastAsia="黑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电桥电路的不平衡：电桥电路中的电阻值可能不是完全相等，导致电桥在平衡状态下仍存在一定的输出电压。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0" w:beforeAutospacing="0" w:after="0" w:afterAutospacing="0" w:line="18" w:lineRule="atLeast"/>
              <w:ind w:left="425" w:leftChars="0" w:right="0" w:hanging="425" w:firstLineChars="0"/>
              <w:rPr>
                <w:rFonts w:hint="default" w:ascii="黑体" w:hAnsi="Times New Roman" w:eastAsia="黑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hAnsi="Times New Roman" w:eastAsia="黑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温度影响：温度变化可能导致应变片和电阻的阻值发生变化，从而影响电桥的输出。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0" w:beforeAutospacing="0" w:after="0" w:afterAutospacing="0" w:line="18" w:lineRule="atLeast"/>
              <w:ind w:left="0" w:leftChars="0" w:right="0" w:rightChars="0" w:firstLine="0" w:firstLineChars="0"/>
              <w:rPr>
                <w:rFonts w:hint="eastAsia" w:eastAsia="黑体"/>
                <w:b/>
                <w:sz w:val="24"/>
                <w:lang w:val="en-US" w:eastAsia="zh-CN"/>
              </w:rPr>
            </w:pPr>
            <w:r>
              <w:rPr>
                <w:rFonts w:hint="eastAsia" w:eastAsia="黑体"/>
                <w:b/>
                <w:sz w:val="24"/>
                <w:lang w:val="en-US" w:eastAsia="zh-CN"/>
              </w:rPr>
              <w:t>消除误差的方法：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0" w:beforeAutospacing="0" w:after="0" w:afterAutospacing="0" w:line="18" w:lineRule="atLeast"/>
              <w:ind w:left="425" w:leftChars="0" w:right="0" w:hanging="425" w:firstLineChars="0"/>
              <w:rPr>
                <w:rFonts w:hint="default" w:ascii="黑体" w:hAnsi="Times New Roman" w:eastAsia="黑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hAnsi="Times New Roman" w:eastAsia="黑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选择线性度好的应变片，尽量减小其非线性特性对测量结果的影响。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0" w:beforeAutospacing="0" w:after="0" w:afterAutospacing="0" w:line="18" w:lineRule="atLeast"/>
              <w:ind w:left="425" w:leftChars="0" w:right="0" w:hanging="425" w:firstLineChars="0"/>
              <w:rPr>
                <w:rFonts w:hint="default" w:ascii="黑体" w:hAnsi="Times New Roman" w:eastAsia="黑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hAnsi="Times New Roman" w:eastAsia="黑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精确调整电桥电路中的电阻值，确保电桥在平衡状态下输出电压接近零。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0" w:beforeAutospacing="0" w:after="0" w:afterAutospacing="0" w:line="18" w:lineRule="atLeast"/>
              <w:ind w:left="425" w:leftChars="0" w:right="0" w:hanging="425" w:firstLineChars="0"/>
              <w:rPr>
                <w:rFonts w:hint="default" w:ascii="黑体" w:hAnsi="Times New Roman" w:eastAsia="黑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hAnsi="Times New Roman" w:eastAsia="黑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采用温度补偿措施，如使用温度系数小的电阻材料或在电路中加入温度补偿电路，以减小温度变化对测量结果的影响。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0" w:beforeAutospacing="0" w:after="0" w:afterAutospacing="0" w:line="18" w:lineRule="atLeast"/>
              <w:ind w:left="0" w:leftChars="0" w:right="0" w:rightChars="0" w:firstLine="0" w:firstLineChars="0"/>
              <w:rPr>
                <w:rFonts w:hint="eastAsia" w:eastAsia="黑体"/>
                <w:b/>
                <w:sz w:val="24"/>
                <w:lang w:val="en-US" w:eastAsia="zh-CN"/>
              </w:rPr>
            </w:pPr>
            <w:r>
              <w:rPr>
                <w:rFonts w:hint="eastAsia" w:eastAsia="黑体"/>
                <w:b/>
                <w:sz w:val="24"/>
                <w:lang w:val="en-US" w:eastAsia="zh-CN"/>
              </w:rPr>
              <w:t>增加输出灵敏度的措施：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0" w:beforeAutospacing="0" w:after="0" w:afterAutospacing="0" w:line="18" w:lineRule="atLeast"/>
              <w:ind w:left="425" w:leftChars="0" w:right="0" w:hanging="425" w:firstLineChars="0"/>
              <w:rPr>
                <w:rFonts w:hint="default" w:ascii="黑体" w:hAnsi="Times New Roman" w:eastAsia="黑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hAnsi="Times New Roman" w:eastAsia="黑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选择灵敏度高的应变片，以提高电桥电路对电阻变化的敏感性。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0" w:beforeAutospacing="0" w:after="0" w:afterAutospacing="0" w:line="18" w:lineRule="atLeast"/>
              <w:ind w:left="425" w:leftChars="0" w:right="0" w:hanging="425" w:firstLineChars="0"/>
              <w:rPr>
                <w:rFonts w:hint="default" w:ascii="黑体" w:hAnsi="Times New Roman" w:eastAsia="黑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黑体" w:hAnsi="Times New Roman" w:eastAsia="黑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增大电桥的供电电压，以提高输出电压的幅度。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0" w:beforeAutospacing="0" w:after="0" w:afterAutospacing="0" w:line="18" w:lineRule="atLeast"/>
              <w:ind w:left="425" w:leftChars="0" w:right="0" w:hanging="425" w:firstLineChars="0"/>
              <w:rPr>
                <w:rFonts w:hint="eastAsia"/>
                <w:szCs w:val="21"/>
              </w:rPr>
            </w:pPr>
            <w:r>
              <w:rPr>
                <w:rFonts w:hint="default" w:ascii="黑体" w:hAnsi="Times New Roman" w:eastAsia="黑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优化差动放大器的设计，提高其放大倍数和带宽，以更好地放大电桥的输出信号。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9720" w:type="dxa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>
            <w:pPr>
              <w:rPr>
                <w:rFonts w:hint="eastAsia" w:ascii="黑体" w:eastAsia="黑体"/>
                <w:color w:val="FF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5" w:hRule="atLeast"/>
        </w:trPr>
        <w:tc>
          <w:tcPr>
            <w:tcW w:w="9720" w:type="dxa"/>
            <w:noWrap w:val="0"/>
            <w:vAlign w:val="top"/>
          </w:tcPr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                               </w:t>
            </w:r>
          </w:p>
          <w:tbl>
            <w:tblPr>
              <w:tblStyle w:val="7"/>
              <w:tblW w:w="8610" w:type="dxa"/>
              <w:tblInd w:w="27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70"/>
              <w:gridCol w:w="1260"/>
              <w:gridCol w:w="2520"/>
              <w:gridCol w:w="1080"/>
              <w:gridCol w:w="1620"/>
              <w:gridCol w:w="126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870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预习</w:t>
                  </w:r>
                </w:p>
                <w:p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260" w:type="dxa"/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操作及记录</w:t>
                  </w:r>
                </w:p>
                <w:p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（40分）</w:t>
                  </w:r>
                </w:p>
              </w:tc>
              <w:tc>
                <w:tcPr>
                  <w:tcW w:w="2520" w:type="dxa"/>
                  <w:tcBorders>
                    <w:bottom w:val="nil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数据处理与结果陈述30分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color="auto" w:sz="4" w:space="0"/>
                  </w:tcBorders>
                  <w:noWrap w:val="0"/>
                  <w:vAlign w:val="top"/>
                </w:tcPr>
                <w:p>
                  <w:pPr>
                    <w:ind w:firstLine="180" w:firstLineChars="100"/>
                    <w:rPr>
                      <w:rFonts w:hint="eastAsia"/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思考题</w:t>
                  </w:r>
                </w:p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10分</w:t>
                  </w: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报告整体</w:t>
                  </w:r>
                </w:p>
                <w:p>
                  <w:pPr>
                    <w:jc w:val="center"/>
                    <w:rPr>
                      <w:rFonts w:hint="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印 象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hint="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87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noWrap w:val="0"/>
                  <w:vAlign w:val="top"/>
                </w:tcPr>
                <w:p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2520" w:type="dxa"/>
                  <w:tcBorders>
                    <w:right w:val="nil"/>
                  </w:tcBorders>
                  <w:noWrap w:val="0"/>
                  <w:vAlign w:val="top"/>
                </w:tcPr>
                <w:p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color="auto" w:sz="4" w:space="0"/>
                  </w:tcBorders>
                  <w:noWrap w:val="0"/>
                  <w:vAlign w:val="top"/>
                </w:tcPr>
                <w:p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620" w:type="dxa"/>
                  <w:tcBorders>
                    <w:left w:val="single" w:color="auto" w:sz="4" w:space="0"/>
                  </w:tcBorders>
                  <w:noWrap w:val="0"/>
                  <w:vAlign w:val="top"/>
                </w:tcPr>
                <w:p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tcBorders>
                    <w:left w:val="single" w:color="auto" w:sz="4" w:space="0"/>
                  </w:tcBorders>
                  <w:noWrap w:val="0"/>
                  <w:vAlign w:val="top"/>
                </w:tcPr>
                <w:p>
                  <w:pPr>
                    <w:jc w:val="center"/>
                    <w:rPr>
                      <w:rFonts w:hint="eastAsia"/>
                      <w:sz w:val="18"/>
                      <w:szCs w:val="18"/>
                    </w:rPr>
                  </w:pPr>
                </w:p>
              </w:tc>
            </w:tr>
          </w:tbl>
          <w:p>
            <w:pPr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separate"/>
    </w:r>
    <w:r>
      <w:rPr>
        <w:rStyle w:val="10"/>
      </w:rPr>
      <w:t>4</w:t>
    </w:r>
    <w:r>
      <w:rPr>
        <w:rStyle w:val="10"/>
      </w:rPr>
      <w:fldChar w:fldCharType="end"/>
    </w:r>
  </w:p>
  <w:p>
    <w:pPr>
      <w:pStyle w:val="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>
    <w:pPr>
      <w:pStyle w:val="3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FD1C4"/>
    <w:multiLevelType w:val="singleLevel"/>
    <w:tmpl w:val="90FFD1C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BD4AC16B"/>
    <w:multiLevelType w:val="singleLevel"/>
    <w:tmpl w:val="BD4AC16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EA84733"/>
    <w:multiLevelType w:val="singleLevel"/>
    <w:tmpl w:val="BEA8473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059AE715"/>
    <w:multiLevelType w:val="singleLevel"/>
    <w:tmpl w:val="059AE71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253F8DB1"/>
    <w:multiLevelType w:val="singleLevel"/>
    <w:tmpl w:val="253F8DB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4961C2"/>
    <w:multiLevelType w:val="singleLevel"/>
    <w:tmpl w:val="374961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JhOWM1YWM2MjY3ZWY3MWJmZGEwYzExY2Q1YjQxMGIifQ=="/>
  </w:docVars>
  <w:rsids>
    <w:rsidRoot w:val="00D95248"/>
    <w:rsid w:val="000A1742"/>
    <w:rsid w:val="00134E83"/>
    <w:rsid w:val="00165C88"/>
    <w:rsid w:val="00271FA7"/>
    <w:rsid w:val="00277501"/>
    <w:rsid w:val="00277546"/>
    <w:rsid w:val="00364452"/>
    <w:rsid w:val="00365EC1"/>
    <w:rsid w:val="004140B1"/>
    <w:rsid w:val="00434606"/>
    <w:rsid w:val="004411B5"/>
    <w:rsid w:val="00453E3D"/>
    <w:rsid w:val="004B69BF"/>
    <w:rsid w:val="004F151D"/>
    <w:rsid w:val="0051323E"/>
    <w:rsid w:val="005B397A"/>
    <w:rsid w:val="006260F0"/>
    <w:rsid w:val="006B17CE"/>
    <w:rsid w:val="006E2F37"/>
    <w:rsid w:val="00725916"/>
    <w:rsid w:val="007D0CBE"/>
    <w:rsid w:val="007D6F6E"/>
    <w:rsid w:val="00826A76"/>
    <w:rsid w:val="00836142"/>
    <w:rsid w:val="008F6432"/>
    <w:rsid w:val="009822E3"/>
    <w:rsid w:val="00A01717"/>
    <w:rsid w:val="00A31868"/>
    <w:rsid w:val="00AA144B"/>
    <w:rsid w:val="00B76F35"/>
    <w:rsid w:val="00BE3E2C"/>
    <w:rsid w:val="00C353B4"/>
    <w:rsid w:val="00C52C6F"/>
    <w:rsid w:val="00CF426C"/>
    <w:rsid w:val="00D95248"/>
    <w:rsid w:val="00D95676"/>
    <w:rsid w:val="00E02D9C"/>
    <w:rsid w:val="00E07627"/>
    <w:rsid w:val="00E4567F"/>
    <w:rsid w:val="00E543F9"/>
    <w:rsid w:val="00E96152"/>
    <w:rsid w:val="00F10EA1"/>
    <w:rsid w:val="00F270DF"/>
    <w:rsid w:val="00F4107F"/>
    <w:rsid w:val="020C396B"/>
    <w:rsid w:val="03DE778E"/>
    <w:rsid w:val="041476CE"/>
    <w:rsid w:val="042B075D"/>
    <w:rsid w:val="06EA381B"/>
    <w:rsid w:val="09CB1FE3"/>
    <w:rsid w:val="0FD77F2D"/>
    <w:rsid w:val="2A2341BA"/>
    <w:rsid w:val="306C5877"/>
    <w:rsid w:val="35D54660"/>
    <w:rsid w:val="42716525"/>
    <w:rsid w:val="43D82BF2"/>
    <w:rsid w:val="4DA37731"/>
    <w:rsid w:val="4DAA3552"/>
    <w:rsid w:val="55120BA3"/>
    <w:rsid w:val="5D0B69F2"/>
    <w:rsid w:val="61303527"/>
    <w:rsid w:val="6861160C"/>
    <w:rsid w:val="6B7D2355"/>
    <w:rsid w:val="6BF57AE9"/>
    <w:rsid w:val="734B4021"/>
    <w:rsid w:val="7D5B67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link w:val="9"/>
    <w:semiHidden/>
    <w:qFormat/>
    <w:uiPriority w:val="0"/>
  </w:style>
  <w:style w:type="table" w:default="1" w:styleId="6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autoRedefine/>
    <w:qFormat/>
    <w:uiPriority w:val="0"/>
    <w:pPr>
      <w:spacing w:line="400" w:lineRule="exact"/>
      <w:ind w:firstLine="420" w:firstLineChars="200"/>
      <w:jc w:val="left"/>
    </w:p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qFormat/>
    <w:uiPriority w:val="0"/>
    <w:rPr>
      <w:sz w:val="24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 Char"/>
    <w:basedOn w:val="1"/>
    <w:link w:val="8"/>
    <w:autoRedefine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character" w:styleId="10">
    <w:name w:val="page number"/>
    <w:basedOn w:val="8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7</Pages>
  <Words>114</Words>
  <Characters>655</Characters>
  <Lines>5</Lines>
  <Paragraphs>1</Paragraphs>
  <TotalTime>92</TotalTime>
  <ScaleCrop>false</ScaleCrop>
  <LinksUpToDate>false</LinksUpToDate>
  <CharactersWithSpaces>768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2014-03-05T12:35:00Z</dcterms:created>
  <dc:creator>User</dc:creator>
  <cp:lastModifiedBy>对方正在输入...</cp:lastModifiedBy>
  <dcterms:modified xsi:type="dcterms:W3CDTF">2024-06-23T07:43:03Z</dcterms:modified>
  <dc:title>得分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2346C5D15C2041E4B38BDF8DABAD9EC8_13</vt:lpwstr>
  </property>
</Properties>
</file>