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3B2E"/>
          <w:sz w:val="30"/>
          <w:szCs w:val="30"/>
        </w:rPr>
        <w:t xml:space="preserve">NeutralVault — Consortium Scam Intelligence Without a Trusted Operator</w:t>
      </w:r>
    </w:p>
    <w:p>
      <w:pPr>
        <w:spacing w:after="80"/>
      </w:pPr>
      <w:r>
        <w:rPr>
          <w:rFonts w:ascii="Calibri" w:cs="Calibri" w:eastAsia="Calibri" w:hAnsi="Calibri"/>
          <w:color w:val="59645D"/>
          <w:sz w:val="19"/>
          <w:szCs w:val="19"/>
        </w:rPr>
        <w:t xml:space="preserve">Team C0NC3PT SQUAD  ·  RMIT Hackathon 2026, Challenge 2: Build Without Blind Trust (TideCloak)</w:t>
      </w:r>
    </w:p>
    <w:p>
      <w:pPr>
        <w:pBdr>
          <w:bottom w:val="single" w:color="0B3B2E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0B3B2E"/>
          <w:sz w:val="23"/>
          <w:szCs w:val="23"/>
        </w:rPr>
        <w:t xml:space="preserve">1. The problem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Fraud spreads faster than any single institution sees it. </w:t>
      </w:r>
      <w:r>
        <w:rPr>
          <w:rFonts w:ascii="Calibri" w:cs="Calibri" w:eastAsia="Calibri" w:hAnsi="Calibri"/>
          <w:sz w:val="19"/>
          <w:szCs w:val="19"/>
        </w:rPr>
        <w:t xml:space="preserve">A mule account flagged by one bank can keep operating at another bank, an e-wallet or a telco, because each organisation only sees its own signals.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Sharing today means trusting a middleman. </w:t>
      </w:r>
      <w:r>
        <w:rPr>
          <w:rFonts w:ascii="Calibri" w:cs="Calibri" w:eastAsia="Calibri" w:hAnsi="Calibri"/>
          <w:sz w:val="19"/>
          <w:szCs w:val="19"/>
        </w:rPr>
        <w:t xml:space="preserve">A central pool or portal operator holds the database and the keys, so it can read every report, decide who joins and change the rules on its own. A breach or rogue insider at that one party exposes everyone.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Members can't trust each other with evidence either. </w:t>
      </w:r>
      <w:r>
        <w:rPr>
          <w:rFonts w:ascii="Calibri" w:cs="Calibri" w:eastAsia="Calibri" w:hAnsi="Calibri"/>
          <w:sz w:val="19"/>
          <w:szCs w:val="19"/>
        </w:rPr>
        <w:t xml:space="preserve">Supporting evidence is sensitive; members need a hit/no-hit answer without handing raw account data and case files to competitors.</w:t>
      </w:r>
    </w:p>
    <w:p>
      <w:pPr>
        <w:pBdr>
          <w:bottom w:val="single" w:color="0B3B2E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0B3B2E"/>
          <w:sz w:val="23"/>
          <w:szCs w:val="23"/>
        </w:rPr>
        <w:t xml:space="preserve">2. Our solution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NeutralVault is a shared mule-account intelligence workspace for banks, telcos and e-wallets in which the operator is removed as a trusted party. It covers seven workflows: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Report: </w:t>
      </w:r>
      <w:r>
        <w:rPr>
          <w:rFonts w:ascii="Calibri" w:cs="Calibri" w:eastAsia="Calibri" w:hAnsi="Calibri"/>
          <w:sz w:val="19"/>
          <w:szCs w:val="19"/>
        </w:rPr>
        <w:t xml:space="preserve">an analyst files an account, reason, severity and evidence. The browser computes a keyed HMAC index and encrypts the content before submission; the server only stores ciphertext and hashes.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Check (Tier 1): </w:t>
      </w:r>
      <w:r>
        <w:rPr>
          <w:rFonts w:ascii="Calibri" w:cs="Calibri" w:eastAsia="Calibri" w:hAnsi="Calibri"/>
          <w:sz w:val="19"/>
          <w:szCs w:val="19"/>
        </w:rPr>
        <w:t xml:space="preserve">another member looks up an account and sees whether it was reported, with reason, severity, reporter and date — never the evidence.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Disclose (Tier 2): </w:t>
      </w:r>
      <w:r>
        <w:rPr>
          <w:rFonts w:ascii="Calibri" w:cs="Calibri" w:eastAsia="Calibri" w:hAnsi="Calibri"/>
          <w:sz w:val="19"/>
          <w:szCs w:val="19"/>
        </w:rPr>
        <w:t xml:space="preserve">evidence release needs approval from the reporting organisation plus an independent, non-requesting organisation. No self-approval; only the requester gets a 30-minute window.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Govern: </w:t>
      </w:r>
      <w:r>
        <w:rPr>
          <w:rFonts w:ascii="Calibri" w:cs="Calibri" w:eastAsia="Calibri" w:hAnsi="Calibri"/>
          <w:sz w:val="19"/>
          <w:szCs w:val="19"/>
        </w:rPr>
        <w:t xml:space="preserve">admitting an organisation or changing sharing rules needs a strict majority of active members, one vote per organisation.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Operator Console and Audit Trail: </w:t>
      </w:r>
      <w:r>
        <w:rPr>
          <w:rFonts w:ascii="Calibri" w:cs="Calibri" w:eastAsia="Calibri" w:hAnsi="Calibri"/>
          <w:sz w:val="19"/>
          <w:szCs w:val="19"/>
        </w:rPr>
        <w:t xml:space="preserve">the host sees only stored ciphertext; self-grant and unilateral-approval attempts are submitted for real and rejected; every check, report, decision and vote is written to a hash-chained ledger with a Verify hash chain button.</w:t>
      </w:r>
    </w:p>
    <w:p>
      <w:pPr>
        <w:pBdr>
          <w:bottom w:val="single" w:color="0B3B2E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0B3B2E"/>
          <w:sz w:val="23"/>
          <w:szCs w:val="23"/>
        </w:rPr>
        <w:t xml:space="preserve">3. Value and impact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Faster detection: </w:t>
      </w:r>
      <w:r>
        <w:rPr>
          <w:rFonts w:ascii="Calibri" w:cs="Calibri" w:eastAsia="Calibri" w:hAnsi="Calibri"/>
          <w:sz w:val="19"/>
          <w:szCs w:val="19"/>
        </w:rPr>
        <w:t xml:space="preserve">one member's report becomes every member's early warning across banking, telco and e-wallet rails.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Breach-resistant by design: </w:t>
      </w:r>
      <w:r>
        <w:rPr>
          <w:rFonts w:ascii="Calibri" w:cs="Calibri" w:eastAsia="Calibri" w:hAnsi="Calibri"/>
          <w:sz w:val="19"/>
          <w:szCs w:val="19"/>
        </w:rPr>
        <w:t xml:space="preserve">dumping the database reveals ciphertext and opaque index hashes, not account numbers or evidence.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Shared, not seized, control: </w:t>
      </w:r>
      <w:r>
        <w:rPr>
          <w:rFonts w:ascii="Calibri" w:cs="Calibri" w:eastAsia="Calibri" w:hAnsi="Calibri"/>
          <w:sz w:val="19"/>
          <w:szCs w:val="19"/>
        </w:rPr>
        <w:t xml:space="preserve">no single bank, admin or operator can grant itself access or rewrite membership. This makes it easier for competitors to cooperate.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Honest privacy: </w:t>
      </w:r>
      <w:r>
        <w:rPr>
          <w:rFonts w:ascii="Calibri" w:cs="Calibri" w:eastAsia="Calibri" w:hAnsi="Calibri"/>
          <w:sz w:val="19"/>
          <w:szCs w:val="19"/>
        </w:rPr>
        <w:t xml:space="preserve">evidence is released case-by-case with justification and expiry instead of bulk data sharing.</w:t>
      </w:r>
    </w:p>
    <w:p>
      <w:pPr>
        <w:pBdr>
          <w:bottom w:val="single" w:color="0B3B2E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0B3B2E"/>
          <w:sz w:val="23"/>
          <w:szCs w:val="23"/>
        </w:rPr>
        <w:t xml:space="preserve">4. Why TideCloak is essential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Swap test: </w:t>
      </w:r>
      <w:r>
        <w:rPr>
          <w:rFonts w:ascii="Calibri" w:cs="Calibri" w:eastAsia="Calibri" w:hAnsi="Calibri"/>
          <w:sz w:val="19"/>
          <w:szCs w:val="19"/>
        </w:rPr>
        <w:t xml:space="preserve">with a normal identity provider and a database-held key, the operator holds the key and the “dump the database” moment fails. TideCloak is what makes it true: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BYOiD login: </w:t>
      </w:r>
      <w:r>
        <w:rPr>
          <w:rFonts w:ascii="Calibri" w:cs="Calibri" w:eastAsia="Calibri" w:hAnsi="Calibri"/>
          <w:sz w:val="19"/>
          <w:szCs w:val="19"/>
        </w:rPr>
        <w:t xml:space="preserve">each analyst signs in with their own Tide identity; there is no shared password database to steal. Server APIs verify tokens, DPoP proofs, roles and organisation membership.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Policy-controlled encryption: </w:t>
      </w:r>
      <w:r>
        <w:rPr>
          <w:rFonts w:ascii="Calibri" w:cs="Calibri" w:eastAsia="Calibri" w:hAnsi="Calibri"/>
          <w:sz w:val="19"/>
          <w:szCs w:val="19"/>
        </w:rPr>
        <w:t xml:space="preserve">reports, the shared HMAC index key and evidence are encrypted through Tide's doEncrypt/doDecrypt with signed policies bound to a record, so the host never holds a usable key. Evidence is sealed under a write-only policy naming the submitter.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Decentralised authority: </w:t>
      </w:r>
      <w:r>
        <w:rPr>
          <w:rFonts w:ascii="Calibri" w:cs="Calibri" w:eastAsia="Calibri" w:hAnsi="Calibri"/>
          <w:sz w:val="19"/>
          <w:szCs w:val="19"/>
        </w:rPr>
        <w:t xml:space="preserve">IGA quorum-approved role changes stop admin self-grants; Forseti custom contracts are the target for distinct-organisation approval, requester binding and 30-minute expiry.</w:t>
      </w:r>
    </w:p>
    <w:p>
      <w:pPr>
        <w:pBdr>
          <w:bottom w:val="single" w:color="0B3B2E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0B3B2E"/>
          <w:sz w:val="23"/>
          <w:szCs w:val="23"/>
        </w:rPr>
        <w:t xml:space="preserve">5. What is real vs. mocked/simulated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Real: </w:t>
      </w:r>
      <w:r>
        <w:rPr>
          <w:rFonts w:ascii="Calibri" w:cs="Calibri" w:eastAsia="Calibri" w:hAnsi="Calibri"/>
          <w:sz w:val="19"/>
          <w:szCs w:val="19"/>
        </w:rPr>
        <w:t xml:space="preserve">Next.js + Prisma/SQLite persistent multi-user app; local TideCloak realm (rmithackathon) with roles, organisation groups, DPoP and an exported adapter; server-side token/DPoP verification; browser Tide SDK helpers with signed policy bytes; hash-chained audit; operator ciphertext view.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Simulated (Sample workspace, clearly labelled): </w:t>
      </w:r>
      <w:r>
        <w:rPr>
          <w:rFonts w:ascii="Calibri" w:cs="Calibri" w:eastAsia="Calibri" w:hAnsi="Calibri"/>
          <w:sz w:val="19"/>
          <w:szCs w:val="19"/>
        </w:rPr>
        <w:t xml:space="preserve">fictional in-memory records using browser AES-GCM and HMAC with temporary local keys; the member selector, approvals and evidence windows do not authenticate Tide users or issue Tide grants.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 yet live: </w:t>
      </w:r>
      <w:r>
        <w:rPr>
          <w:rFonts w:ascii="Calibri" w:cs="Calibri" w:eastAsia="Calibri" w:hAnsi="Calibri"/>
          <w:sz w:val="19"/>
          <w:szCs w:val="19"/>
        </w:rPr>
        <w:t xml:space="preserve">Tide owner account linking failed on the network (TIDE-TIDEJS-SIG-BLIND_VERIFY_FAILED), so cross-user shared encryption, quorum disclosure release and governance commitment stay fail-closed. Recorded votes go to “awaiting Tide commitment” and never change membership locally.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Known limits: </w:t>
      </w:r>
      <w:r>
        <w:rPr>
          <w:rFonts w:ascii="Calibri" w:cs="Calibri" w:eastAsia="Calibri" w:hAnsi="Calibri"/>
          <w:sz w:val="19"/>
          <w:szCs w:val="19"/>
        </w:rPr>
        <w:t xml:space="preserve">the audit chain is tamper-evident, not immutable; a member insider with the index key could brute-force low-entropy account numbers (roadmap: private set intersection); expiry cannot erase evidence already viewed.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3B2E"/>
          <w:sz w:val="26"/>
          <w:szCs w:val="26"/>
        </w:rPr>
        <w:t xml:space="preserve">Prototype walkthrough (screenshots from the running app at localhost:3000)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screens below except Figure 1 are the clearly labelled Sample workspace (synthetic data, resets on reload, separate from TideCloak), viewed as Bank B · Requester. Every page carries 'Synthetic data only' and 'Sample workspace' badges.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f1" descr="NeutralVault screen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1. Sign-in. 'Continue with TideCloak' starts real BYOiD login; the sidebar shows no session or roles until a verified token arrives. 'Continue as sample user' opens the separate sample workspace.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2" name="f2" descr="NeutralVault scree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2. Overview. Consortium at a glance: 5 encrypted reports (stored as keyed hashes and ciphertext), 3 active members, 1 pending Tier-2 disclosure and 1 open governance proposal.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3" name="f3" descr="NeutralVault screen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3. Account Check (Tier 1). The identifier is normalised and HMAC-SHA256 hashed in the browser; only the keyed hash is sent. Hits show metadata, never evidence.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4" name="f4" descr="NeutralVault screen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4. File Report. Account index, Tier-1 ciphertext (reason, severity, date) and evidence ciphertext are produced in the browser; the right panel shows exactly what leaves the browser.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5" name="f5" descr="NeutralVault screen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5. Disclosures (Tier 2). DSC-902 from Bank B on report NV-2048 has 1/2 approvals (Bank A). The requester's own Approve is disabled and evidence stays encrypted until the reporter and an independent member approve.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6" name="f6" descr="NeutralVault screen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6. Governance. PROP-2026-04 'Admit E-wallet D \u2014 PaySwift Digital' at 1/2 approvals; strict majority of active members, one vote per organisation.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7" name="f7" descr="NeutralVault screen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7. Operator Console. 'Attempt self-grant' and 'Attempt unilateral approval' send real requests and display the server's rejection, which is then audited.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33675"/>
            <wp:effectExtent t="0" r="0" b="0" l="0"/>
            <wp:docPr id="8" name="f8" descr="NeutralVault screen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645D"/>
          <w:sz w:val="17"/>
          <w:szCs w:val="17"/>
        </w:rPr>
        <w:t xml:space="preserve">Figure 8. Audit Trail. Each event links the previous entry's hash; 'Verify hash chain' reports 'Chain integrity: verified'. Tamper-evident, not immutable.</w:t>
      </w:r>
    </w:p>
    <w:p>
      <w:pPr>
        <w:pBdr>
          <w:bottom w:val="single" w:color="0B3B2E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0B3B2E"/>
          <w:sz w:val="23"/>
          <w:szCs w:val="23"/>
        </w:rPr>
        <w:t xml:space="preserve">Run instructions (summary)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From the repository root: docker compose up -d tidecloak. Then in app/: npm install, npm run db:push, npm run dev, and open http://localhost:3000. Choose 'Continue as sample user' to explore the sample workspace. Checks: npm test, npm run typecheck, npm run build.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5bbb89341a34cbfad112af123496096c43c7e8c.jpg"/><Relationship Id="rId8" Type="http://schemas.openxmlformats.org/officeDocument/2006/relationships/image" Target="media/962dc48381b3630bdb46a9fd29d70dde0934d639.jpg"/><Relationship Id="rId9" Type="http://schemas.openxmlformats.org/officeDocument/2006/relationships/image" Target="media/f9f9599d29bf73abe05f5d19876007e2037e7c7c.jpg"/><Relationship Id="rId10" Type="http://schemas.openxmlformats.org/officeDocument/2006/relationships/image" Target="media/c56348955eaf2c607cb7d534900e6a354e051318.jpg"/><Relationship Id="rId11" Type="http://schemas.openxmlformats.org/officeDocument/2006/relationships/image" Target="media/615ae7dcd534d410fa3efc50a50f0b2755fa7731.jpg"/><Relationship Id="rId12" Type="http://schemas.openxmlformats.org/officeDocument/2006/relationships/image" Target="media/81e68c9ad87cfd89f09aa9622ec7aeda7a5f386d.jpg"/><Relationship Id="rId13" Type="http://schemas.openxmlformats.org/officeDocument/2006/relationships/image" Target="media/51c51827b637c1a4e8243ab2bcf0c8909abe8893.jpg"/><Relationship Id="rId14" Type="http://schemas.openxmlformats.org/officeDocument/2006/relationships/image" Target="media/4564eb2c4d4f93be3ae085bc85e75df61fdca402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2026-10-22T09:28:12.825Z</dcterms:created>
  <dcterms:modified xsi:type="dcterms:W3CDTF">2026-10-22T09:28:12.825Z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