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aps/>
          <w:color w:val="2E75B6"/>
          <w:sz w:val="22"/>
          <w:szCs w:val="22"/>
        </w:rPr>
        <w:t xml:space="preserve">RESEARCH PROPOSAL</w:t>
      </w:r>
    </w:p>
    <w:p>
      <w:pPr>
        <w:spacing w:after="200" w:before="0"/>
        <w:jc w:val="center"/>
      </w:pPr>
      <w:r>
        <w:rPr>
          <w:rFonts w:ascii="Arial" w:cs="Arial" w:eastAsia="Arial" w:hAnsi="Arial"/>
          <w:b/>
          <w:bCs/>
          <w:color w:val="1F3864"/>
          <w:sz w:val="38"/>
          <w:szCs w:val="38"/>
        </w:rPr>
        <w:t xml:space="preserve">Policy-Guided Governance of Security Behaviors in
LLM-Based Coding Agents Across the Software Development Lifecycle</w:t>
      </w:r>
    </w:p>
    <w:p>
      <w:pPr>
        <w:pBdr>
          <w:bottom w:val="single" w:color="2E75B6" w:sz="4" w:space="1"/>
        </w:pBdr>
        <w:spacing w:after="40" w:before="40"/>
      </w:pPr>
    </w:p>
    <w:p>
      <w:pPr>
        <w:spacing w:after="80" w:before="160"/>
      </w:pPr>
    </w:p>
    <w:p>
      <w:pPr>
        <w:spacing w:after="80" w:before="0"/>
        <w:jc w:val="center"/>
      </w:pPr>
      <w:r>
        <w:rPr>
          <w:rFonts w:ascii="Arial" w:cs="Arial" w:eastAsia="Arial" w:hAnsi="Arial"/>
          <w:i/>
          <w:iCs/>
          <w:color w:val="595959"/>
          <w:sz w:val="22"/>
          <w:szCs w:val="22"/>
        </w:rPr>
        <w:t xml:space="preserve">Version 1.0  |  March 2026</w:t>
      </w:r>
    </w:p>
    <w:p>
      <w:pPr>
        <w:spacing w:after="600" w:before="0"/>
        <w:jc w:val="center"/>
      </w:pPr>
      <w:r>
        <w:rPr>
          <w:rFonts w:ascii="Arial" w:cs="Arial" w:eastAsia="Arial" w:hAnsi="Arial"/>
          <w:color w:val="595959"/>
          <w:sz w:val="22"/>
          <w:szCs w:val="22"/>
        </w:rPr>
        <w:t xml:space="preserve">Agent Secure Behavior Project</w:t>
      </w:r>
    </w:p>
    <w:p>
      <w:r>
        <w:br w:type="page"/>
      </w:r>
    </w:p>
    <w:p>
      <w:pPr>
        <w:pStyle w:val="Heading1"/>
        <w:spacing w:after="160" w:before="320"/>
      </w:pPr>
      <w:r>
        <w:rPr>
          <w:rFonts w:ascii="Arial" w:cs="Arial" w:eastAsia="Arial" w:hAnsi="Arial"/>
          <w:b/>
          <w:bCs/>
          <w:color w:val="1F3864"/>
          <w:sz w:val="32"/>
          <w:szCs w:val="32"/>
        </w:rPr>
        <w:t xml:space="preserve">Abstract</w:t>
      </w:r>
    </w:p>
    <w:p>
      <w:pPr>
        <w:pBdr>
          <w:bottom w:val="single" w:color="2E75B6" w:sz="4" w:space="1"/>
        </w:pBdr>
        <w:spacing w:after="40" w:before="40"/>
      </w:pPr>
    </w:p>
    <w:p>
      <w:pPr>
        <w:spacing w:after="40" w:before="80"/>
      </w:pPr>
    </w:p>
    <w:p>
      <w:pPr>
        <w:spacing w:after="120" w:before="80"/>
        <w:jc w:val="both"/>
      </w:pPr>
      <w:r>
        <w:rPr>
          <w:rFonts w:ascii="Arial" w:cs="Arial" w:eastAsia="Arial" w:hAnsi="Arial"/>
          <w:color w:val="595959"/>
          <w:sz w:val="22"/>
          <w:szCs w:val="22"/>
        </w:rPr>
        <w:t xml:space="preserve">LLM-based coding agents now autonomously execute actions spanning the entire software development lifecycle (SDLC): writing code, resolving dependencies, generating configurations, modifying CI/CD pipelines, and interacting with deployment systems. Empirical evidence confirms that such agents regularly exhibit security-relevant behaviors beyond mere code-level vulnerabilities — including credential exposure, privilege escalation, unsafe tool invocations, and insecure environment mutations. Yet no principled framework exists to classify these behaviors by their SDLC context, specify enforceable policies against them, or measure whether governance actually reduces their occurrence.</w:t>
      </w:r>
    </w:p>
    <w:p>
      <w:pPr>
        <w:spacing w:after="40" w:before="40"/>
      </w:pPr>
    </w:p>
    <w:p>
      <w:pPr>
        <w:spacing w:after="120" w:before="80"/>
        <w:jc w:val="both"/>
      </w:pPr>
      <w:r>
        <w:rPr>
          <w:rFonts w:ascii="Arial" w:cs="Arial" w:eastAsia="Arial" w:hAnsi="Arial"/>
          <w:color w:val="595959"/>
          <w:sz w:val="22"/>
          <w:szCs w:val="22"/>
        </w:rPr>
        <w:t xml:space="preserve">This proposal presents a research program to fill that gap. We will construct a taxonomy of insecure agent behaviors grounded in both runtime agent stages and SDLC phases, translate authoritative standards (NIST SP 800-218, OWASP LLM Top 10, CWE Top 25, OWASP ASVS) into formal, lifecycle-aware behavior policies, and design a runtime enforcement engine that intercepts and governs agent actions before execution. We will evaluate the framework across six representative coding agents on a purpose-built benchmark covering the full SDLC surface. The primary research questions are: (RQ1) what insecure behaviors do coding agents exhibit across SDLC stages; (RQ2) can security standards be systematically translated into enforceable agent-level policies; and (RQ3) to what extent does policy-guided governance measurably reduce insecure agent behaviors.</w:t>
      </w:r>
    </w:p>
    <w:p>
      <w:pPr>
        <w:spacing w:after="40" w:before="40"/>
      </w:pPr>
    </w:p>
    <w:p>
      <w:pPr>
        <w:spacing w:after="120" w:before="80"/>
        <w:jc w:val="both"/>
      </w:pPr>
      <w:r>
        <w:rPr>
          <w:rFonts w:ascii="Arial" w:cs="Arial" w:eastAsia="Arial" w:hAnsi="Arial"/>
          <w:color w:val="595959"/>
          <w:sz w:val="22"/>
          <w:szCs w:val="22"/>
        </w:rPr>
        <w:t xml:space="preserve">The proposed work occupies a well-defined gap in the literature. Existing benchmarks measure code output security; existing policy enforcement systems target authorization or task-sequencing correctness; no prior work bridges these domains with SDLC-stage awareness. Success would constitute a foundational contribution at the intersection of software security, AI safety, and automated software engineering.</w:t>
      </w:r>
    </w:p>
    <w:p>
      <w:r>
        <w:br w:type="page"/>
      </w:r>
    </w:p>
    <w:p>
      <w:pPr>
        <w:pStyle w:val="Heading1"/>
        <w:spacing w:after="160" w:before="320"/>
      </w:pPr>
      <w:r>
        <w:rPr>
          <w:rFonts w:ascii="Arial" w:cs="Arial" w:eastAsia="Arial" w:hAnsi="Arial"/>
          <w:b/>
          <w:bCs/>
          <w:color w:val="1F3864"/>
          <w:sz w:val="32"/>
          <w:szCs w:val="32"/>
        </w:rPr>
        <w:t xml:space="preserve">1.  Introduction</w:t>
      </w:r>
    </w:p>
    <w:p>
      <w:pPr>
        <w:pBdr>
          <w:bottom w:val="single" w:color="2E75B6" w:sz="4" w:space="1"/>
        </w:pBdr>
        <w:spacing w:after="40" w:before="40"/>
      </w:pPr>
    </w:p>
    <w:p>
      <w:pPr>
        <w:spacing w:after="40" w:before="80"/>
      </w:pPr>
    </w:p>
    <w:p>
      <w:pPr>
        <w:spacing w:after="120" w:before="80"/>
        <w:jc w:val="both"/>
      </w:pPr>
      <w:r>
        <w:rPr>
          <w:rFonts w:ascii="Arial" w:cs="Arial" w:eastAsia="Arial" w:hAnsi="Arial"/>
          <w:color w:val="595959"/>
          <w:sz w:val="22"/>
          <w:szCs w:val="22"/>
        </w:rPr>
        <w:t xml:space="preserve">Autonomous coding agents — systems such as GitHub Copilot, Claude Code, Cursor, SWE-agent, OpenHands, and Aider — now participate in nearly every phase of software production. They interpret requirements, synthesize code, resolve and install dependencies, generate infrastructure-as-code, modify CI/CD pipelines, and interact with cloud deployment APIs. This breadth of autonomous action represents a qualitative shift from earlier code completion tools: the agent is not merely a suggestion engine but an active engineering participant with durable side effects on the software environment.</w:t>
      </w:r>
    </w:p>
    <w:p>
      <w:pPr>
        <w:spacing w:after="40" w:before="40"/>
      </w:pPr>
    </w:p>
    <w:p>
      <w:pPr>
        <w:spacing w:after="120" w:before="80"/>
        <w:jc w:val="both"/>
      </w:pPr>
      <w:r>
        <w:rPr>
          <w:rFonts w:ascii="Arial" w:cs="Arial" w:eastAsia="Arial" w:hAnsi="Arial"/>
          <w:color w:val="595959"/>
          <w:sz w:val="22"/>
          <w:szCs w:val="22"/>
        </w:rPr>
        <w:t xml:space="preserve">This shift creates a security challenge of commensurate scale. An agent that installs an unvetted dependency does not merely write insecure code — it mutates a shared artifact graph in ways that affect every downstream consumer. An agent that stores an API key in plaintext during environment setup does not introduce a single CWE instance — it creates a credential leak with real exploitation surface. An agent that modifies a CI/CD workflow without human review does not produce a buggy function — it potentially compromises the entire build and release supply chain. These are behavioral security failures at the process level, not the line-of-code level, and they are not captured by any existing benchmark or governance framework.</w:t>
      </w:r>
    </w:p>
    <w:p>
      <w:pPr>
        <w:spacing w:after="40" w:before="40"/>
      </w:pPr>
    </w:p>
    <w:p>
      <w:pPr>
        <w:spacing w:after="120" w:before="80"/>
        <w:jc w:val="both"/>
      </w:pPr>
      <w:r>
        <w:rPr>
          <w:rFonts w:ascii="Arial" w:cs="Arial" w:eastAsia="Arial" w:hAnsi="Arial"/>
          <w:color w:val="595959"/>
          <w:sz w:val="22"/>
          <w:szCs w:val="22"/>
        </w:rPr>
        <w:t xml:space="preserve">The canonical security standards that guide human software engineers — NIST SP 800-218 (Secure Software Development Framework), OWASP ASVS, CWE Top 25, OWASP LLM Top 10 — encode decades of hard-won practice about how to behave securely across the SDLC. These standards are written for humans, but their underlying principles are largely behavioral: do not use unverified third-party components, do not expose secrets in logs, do not grant excessive privileges during deployment. This proposal investigates whether such principles can be systematically translated into machine-enforceable behavior policies that govern coding agents at runtime.</w:t>
      </w:r>
    </w:p>
    <w:p>
      <w:r>
        <w:br w:type="page"/>
      </w:r>
    </w:p>
    <w:p>
      <w:pPr>
        <w:pStyle w:val="Heading1"/>
        <w:spacing w:after="160" w:before="320"/>
      </w:pPr>
      <w:r>
        <w:rPr>
          <w:rFonts w:ascii="Arial" w:cs="Arial" w:eastAsia="Arial" w:hAnsi="Arial"/>
          <w:b/>
          <w:bCs/>
          <w:color w:val="1F3864"/>
          <w:sz w:val="32"/>
          <w:szCs w:val="32"/>
        </w:rPr>
        <w:t xml:space="preserve">2.  Background and Related Work</w:t>
      </w:r>
    </w:p>
    <w:p>
      <w:pPr>
        <w:pBdr>
          <w:bottom w:val="single" w:color="2E75B6" w:sz="4" w:space="1"/>
        </w:pBdr>
        <w:spacing w:after="40" w:before="40"/>
      </w:pPr>
    </w:p>
    <w:p>
      <w:pPr>
        <w:spacing w:after="40" w:before="80"/>
      </w:pPr>
    </w:p>
    <w:p>
      <w:pPr>
        <w:spacing w:after="120" w:before="80"/>
        <w:jc w:val="both"/>
      </w:pPr>
      <w:r>
        <w:rPr>
          <w:rFonts w:ascii="Arial" w:cs="Arial" w:eastAsia="Arial" w:hAnsi="Arial"/>
          <w:color w:val="595959"/>
          <w:sz w:val="22"/>
          <w:szCs w:val="22"/>
        </w:rPr>
        <w:t xml:space="preserve">We organize the related literature into three bodies: (i) benchmarks for secure code generation, (ii) empirical studies of insecure agent behaviors, and (iii) policy and governance frameworks for LLM agents. A careful reading of all three reveals that no prior work integrates their concerns — and that this integration is the core novelty of the proposed research.</w:t>
      </w:r>
    </w:p>
    <w:p>
      <w:pPr>
        <w:pStyle w:val="Heading2"/>
        <w:spacing w:after="120" w:before="240"/>
      </w:pPr>
      <w:r>
        <w:rPr>
          <w:rFonts w:ascii="Arial" w:cs="Arial" w:eastAsia="Arial" w:hAnsi="Arial"/>
          <w:b/>
          <w:bCs/>
          <w:color w:val="2E75B6"/>
          <w:sz w:val="26"/>
          <w:szCs w:val="26"/>
        </w:rPr>
        <w:t xml:space="preserve">2.1  Secure Code Generation Benchmarks</w:t>
      </w:r>
    </w:p>
    <w:p>
      <w:pPr>
        <w:spacing w:after="120" w:before="80"/>
        <w:jc w:val="both"/>
      </w:pPr>
      <w:r>
        <w:rPr>
          <w:rFonts w:ascii="Arial" w:cs="Arial" w:eastAsia="Arial" w:hAnsi="Arial"/>
          <w:color w:val="595959"/>
          <w:sz w:val="22"/>
          <w:szCs w:val="22"/>
        </w:rPr>
        <w:t xml:space="preserve">A substantial literature has developed around evaluating whether LLMs generate secure code at the function or file level. The principal benchmarks are:</w:t>
      </w:r>
    </w:p>
    <w:p>
      <w:pPr>
        <w:spacing w:after="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C9D5E8" w:sz="1"/>
              <w:left w:val="single" w:color="C9D5E8" w:sz="1"/>
              <w:bottom w:val="single" w:color="C9D5E8" w:sz="1"/>
              <w:right w:val="single" w:color="C9D5E8"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Benchmark</w:t>
            </w:r>
          </w:p>
        </w:tc>
        <w:tc>
          <w:tcPr>
            <w:tcW w:type="dxa" w:w="2200"/>
            <w:tcBorders>
              <w:top w:val="single" w:color="C9D5E8" w:sz="1"/>
              <w:left w:val="single" w:color="C9D5E8" w:sz="1"/>
              <w:bottom w:val="single" w:color="C9D5E8" w:sz="1"/>
              <w:right w:val="single" w:color="C9D5E8"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arXiv / Venue</w:t>
            </w:r>
          </w:p>
        </w:tc>
        <w:tc>
          <w:tcPr>
            <w:tcW w:type="dxa" w:w="2200"/>
            <w:tcBorders>
              <w:top w:val="single" w:color="C9D5E8" w:sz="1"/>
              <w:left w:val="single" w:color="C9D5E8" w:sz="1"/>
              <w:bottom w:val="single" w:color="C9D5E8" w:sz="1"/>
              <w:right w:val="single" w:color="C9D5E8"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Scope</w:t>
            </w:r>
          </w:p>
        </w:tc>
        <w:tc>
          <w:tcPr>
            <w:tcW w:type="dxa" w:w="3160"/>
            <w:tcBorders>
              <w:top w:val="single" w:color="C9D5E8" w:sz="1"/>
              <w:left w:val="single" w:color="C9D5E8" w:sz="1"/>
              <w:bottom w:val="single" w:color="C9D5E8" w:sz="1"/>
              <w:right w:val="single" w:color="C9D5E8"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Limitation</w:t>
            </w:r>
          </w:p>
        </w:tc>
      </w:tr>
      <w:tr>
        <w:tc>
          <w:tcPr>
            <w:tcW w:type="dxa" w:w="180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r>
              <w:rPr>
                <w:rFonts w:ascii="Arial" w:cs="Arial" w:eastAsia="Arial" w:hAnsi="Arial"/>
                <w:b/>
                <w:bCs/>
                <w:color w:val="595959"/>
                <w:sz w:val="20"/>
                <w:szCs w:val="20"/>
              </w:rPr>
              <w:t xml:space="preserve">SusVibes</w:t>
            </w:r>
          </w:p>
        </w:tc>
        <w:tc>
          <w:tcPr>
            <w:tcW w:type="dxa" w:w="220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r>
              <w:rPr>
                <w:rFonts w:ascii="Arial" w:cs="Arial" w:eastAsia="Arial" w:hAnsi="Arial"/>
                <w:b w:val="false"/>
                <w:bCs w:val="false"/>
                <w:color w:val="595959"/>
                <w:sz w:val="20"/>
                <w:szCs w:val="20"/>
              </w:rPr>
              <w:t xml:space="preserve">2512.03262</w:t>
            </w:r>
          </w:p>
        </w:tc>
        <w:tc>
          <w:tcPr>
            <w:tcW w:type="dxa" w:w="220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r>
              <w:rPr>
                <w:rFonts w:ascii="Arial" w:cs="Arial" w:eastAsia="Arial" w:hAnsi="Arial"/>
                <w:b w:val="false"/>
                <w:bCs w:val="false"/>
                <w:color w:val="595959"/>
                <w:sz w:val="20"/>
                <w:szCs w:val="20"/>
              </w:rPr>
              <w:t xml:space="preserve">200 tasks, 108 OSS repos, 77 CWEs; measures 'vibe coding' security correctness</w:t>
            </w:r>
          </w:p>
        </w:tc>
        <w:tc>
          <w:tcPr>
            <w:tcW w:type="dxa" w:w="316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r>
              <w:rPr>
                <w:rFonts w:ascii="Arial" w:cs="Arial" w:eastAsia="Arial" w:hAnsi="Arial"/>
                <w:b w:val="false"/>
                <w:bCs w:val="false"/>
                <w:color w:val="595959"/>
                <w:sz w:val="20"/>
                <w:szCs w:val="20"/>
              </w:rPr>
              <w:t xml:space="preserve">Best agent achieves only 10.5% security correctness; measures output code only</w:t>
            </w:r>
          </w:p>
        </w:tc>
      </w:tr>
      <w:tr>
        <w:tc>
          <w:tcPr>
            <w:tcW w:type="dxa" w:w="1800"/>
            <w:tcBorders>
              <w:top w:val="single" w:color="C9D5E8" w:sz="1"/>
              <w:left w:val="single" w:color="C9D5E8" w:sz="1"/>
              <w:bottom w:val="single" w:color="C9D5E8" w:sz="1"/>
              <w:right w:val="single" w:color="C9D5E8" w:sz="1"/>
            </w:tcBorders>
            <w:shd w:fill="FFFFFF" w:val="clear"/>
            <w:tcMar>
              <w:top w:type="dxa" w:w="80"/>
              <w:left w:type="dxa" w:w="120"/>
              <w:bottom w:type="dxa" w:w="80"/>
              <w:right w:type="dxa" w:w="120"/>
            </w:tcMar>
          </w:tcPr>
          <w:p>
            <w:r>
              <w:rPr>
                <w:rFonts w:ascii="Arial" w:cs="Arial" w:eastAsia="Arial" w:hAnsi="Arial"/>
                <w:b/>
                <w:bCs/>
                <w:color w:val="595959"/>
                <w:sz w:val="20"/>
                <w:szCs w:val="20"/>
              </w:rPr>
              <w:t xml:space="preserve">SecureAgentBench</w:t>
            </w:r>
          </w:p>
        </w:tc>
        <w:tc>
          <w:tcPr>
            <w:tcW w:type="dxa" w:w="2200"/>
            <w:tcBorders>
              <w:top w:val="single" w:color="C9D5E8" w:sz="1"/>
              <w:left w:val="single" w:color="C9D5E8" w:sz="1"/>
              <w:bottom w:val="single" w:color="C9D5E8" w:sz="1"/>
              <w:right w:val="single" w:color="C9D5E8"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2509.22097</w:t>
            </w:r>
          </w:p>
        </w:tc>
        <w:tc>
          <w:tcPr>
            <w:tcW w:type="dxa" w:w="2200"/>
            <w:tcBorders>
              <w:top w:val="single" w:color="C9D5E8" w:sz="1"/>
              <w:left w:val="single" w:color="C9D5E8" w:sz="1"/>
              <w:bottom w:val="single" w:color="C9D5E8" w:sz="1"/>
              <w:right w:val="single" w:color="C9D5E8"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105 tasks with real-world CVEs; static analysis + PoC exploit verification</w:t>
            </w:r>
          </w:p>
        </w:tc>
        <w:tc>
          <w:tcPr>
            <w:tcW w:type="dxa" w:w="3160"/>
            <w:tcBorders>
              <w:top w:val="single" w:color="C9D5E8" w:sz="1"/>
              <w:left w:val="single" w:color="C9D5E8" w:sz="1"/>
              <w:bottom w:val="single" w:color="C9D5E8" w:sz="1"/>
              <w:right w:val="single" w:color="C9D5E8"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Best result: 15.2% correct-and-secure; no agent-process or SDLC-stage view</w:t>
            </w:r>
          </w:p>
        </w:tc>
      </w:tr>
      <w:tr>
        <w:tc>
          <w:tcPr>
            <w:tcW w:type="dxa" w:w="180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r>
              <w:rPr>
                <w:rFonts w:ascii="Arial" w:cs="Arial" w:eastAsia="Arial" w:hAnsi="Arial"/>
                <w:b/>
                <w:bCs/>
                <w:color w:val="595959"/>
                <w:sz w:val="20"/>
                <w:szCs w:val="20"/>
              </w:rPr>
              <w:t xml:space="preserve">SecRepoBench</w:t>
            </w:r>
          </w:p>
        </w:tc>
        <w:tc>
          <w:tcPr>
            <w:tcW w:type="dxa" w:w="220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r>
              <w:rPr>
                <w:rFonts w:ascii="Arial" w:cs="Arial" w:eastAsia="Arial" w:hAnsi="Arial"/>
                <w:b w:val="false"/>
                <w:bCs w:val="false"/>
                <w:color w:val="595959"/>
                <w:sz w:val="20"/>
                <w:szCs w:val="20"/>
              </w:rPr>
              <w:t xml:space="preserve">2504.21205</w:t>
            </w:r>
          </w:p>
        </w:tc>
        <w:tc>
          <w:tcPr>
            <w:tcW w:type="dxa" w:w="220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r>
              <w:rPr>
                <w:rFonts w:ascii="Arial" w:cs="Arial" w:eastAsia="Arial" w:hAnsi="Arial"/>
                <w:b w:val="false"/>
                <w:bCs w:val="false"/>
                <w:color w:val="595959"/>
                <w:sz w:val="20"/>
                <w:szCs w:val="20"/>
              </w:rPr>
              <w:t xml:space="preserve">318 C/C++ tasks, 15 CWEs; semantic mutations to counter memorization</w:t>
            </w:r>
          </w:p>
        </w:tc>
        <w:tc>
          <w:tcPr>
            <w:tcW w:type="dxa" w:w="316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r>
              <w:rPr>
                <w:rFonts w:ascii="Arial" w:cs="Arial" w:eastAsia="Arial" w:hAnsi="Arial"/>
                <w:b w:val="false"/>
                <w:bCs w:val="false"/>
                <w:color w:val="595959"/>
                <w:sz w:val="20"/>
                <w:szCs w:val="20"/>
              </w:rPr>
              <w:t xml:space="preserve">Repository-level code completion only; no dependency/config/CI evaluation</w:t>
            </w:r>
          </w:p>
        </w:tc>
      </w:tr>
      <w:tr>
        <w:tc>
          <w:tcPr>
            <w:tcW w:type="dxa" w:w="1800"/>
            <w:tcBorders>
              <w:top w:val="single" w:color="C9D5E8" w:sz="1"/>
              <w:left w:val="single" w:color="C9D5E8" w:sz="1"/>
              <w:bottom w:val="single" w:color="C9D5E8" w:sz="1"/>
              <w:right w:val="single" w:color="C9D5E8" w:sz="1"/>
            </w:tcBorders>
            <w:shd w:fill="FFFFFF" w:val="clear"/>
            <w:tcMar>
              <w:top w:type="dxa" w:w="80"/>
              <w:left w:type="dxa" w:w="120"/>
              <w:bottom w:type="dxa" w:w="80"/>
              <w:right w:type="dxa" w:w="120"/>
            </w:tcMar>
          </w:tcPr>
          <w:p>
            <w:r>
              <w:rPr>
                <w:rFonts w:ascii="Arial" w:cs="Arial" w:eastAsia="Arial" w:hAnsi="Arial"/>
                <w:b/>
                <w:bCs/>
                <w:color w:val="595959"/>
                <w:sz w:val="20"/>
                <w:szCs w:val="20"/>
              </w:rPr>
              <w:t xml:space="preserve">CWEval</w:t>
            </w:r>
          </w:p>
        </w:tc>
        <w:tc>
          <w:tcPr>
            <w:tcW w:type="dxa" w:w="2200"/>
            <w:tcBorders>
              <w:top w:val="single" w:color="C9D5E8" w:sz="1"/>
              <w:left w:val="single" w:color="C9D5E8" w:sz="1"/>
              <w:bottom w:val="single" w:color="C9D5E8" w:sz="1"/>
              <w:right w:val="single" w:color="C9D5E8"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IEEE S&amp;P 2025</w:t>
            </w:r>
          </w:p>
        </w:tc>
        <w:tc>
          <w:tcPr>
            <w:tcW w:type="dxa" w:w="2200"/>
            <w:tcBorders>
              <w:top w:val="single" w:color="C9D5E8" w:sz="1"/>
              <w:left w:val="single" w:color="C9D5E8" w:sz="1"/>
              <w:bottom w:val="single" w:color="C9D5E8" w:sz="1"/>
              <w:right w:val="single" w:color="C9D5E8"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CWE-classified code generation; functional + security test harness</w:t>
            </w:r>
          </w:p>
        </w:tc>
        <w:tc>
          <w:tcPr>
            <w:tcW w:type="dxa" w:w="3160"/>
            <w:tcBorders>
              <w:top w:val="single" w:color="C9D5E8" w:sz="1"/>
              <w:left w:val="single" w:color="C9D5E8" w:sz="1"/>
              <w:bottom w:val="single" w:color="C9D5E8" w:sz="1"/>
              <w:right w:val="single" w:color="C9D5E8"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Single-function scope; no multi-step agent task evaluation</w:t>
            </w:r>
          </w:p>
        </w:tc>
      </w:tr>
      <w:tr>
        <w:tc>
          <w:tcPr>
            <w:tcW w:type="dxa" w:w="180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r>
              <w:rPr>
                <w:rFonts w:ascii="Arial" w:cs="Arial" w:eastAsia="Arial" w:hAnsi="Arial"/>
                <w:b/>
                <w:bCs/>
                <w:color w:val="595959"/>
                <w:sz w:val="20"/>
                <w:szCs w:val="20"/>
              </w:rPr>
              <w:t xml:space="preserve">BaxBench</w:t>
            </w:r>
          </w:p>
        </w:tc>
        <w:tc>
          <w:tcPr>
            <w:tcW w:type="dxa" w:w="220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r>
              <w:rPr>
                <w:rFonts w:ascii="Arial" w:cs="Arial" w:eastAsia="Arial" w:hAnsi="Arial"/>
                <w:b w:val="false"/>
                <w:bCs w:val="false"/>
                <w:color w:val="595959"/>
                <w:sz w:val="20"/>
                <w:szCs w:val="20"/>
              </w:rPr>
              <w:t xml:space="preserve">2502.11844</w:t>
            </w:r>
          </w:p>
        </w:tc>
        <w:tc>
          <w:tcPr>
            <w:tcW w:type="dxa" w:w="220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r>
              <w:rPr>
                <w:rFonts w:ascii="Arial" w:cs="Arial" w:eastAsia="Arial" w:hAnsi="Arial"/>
                <w:b w:val="false"/>
                <w:bCs w:val="false"/>
                <w:color w:val="595959"/>
                <w:sz w:val="20"/>
                <w:szCs w:val="20"/>
              </w:rPr>
              <w:t xml:space="preserve">Backend service generation with security requirements</w:t>
            </w:r>
          </w:p>
        </w:tc>
        <w:tc>
          <w:tcPr>
            <w:tcW w:type="dxa" w:w="316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r>
              <w:rPr>
                <w:rFonts w:ascii="Arial" w:cs="Arial" w:eastAsia="Arial" w:hAnsi="Arial"/>
                <w:b w:val="false"/>
                <w:bCs w:val="false"/>
                <w:color w:val="595959"/>
                <w:sz w:val="20"/>
                <w:szCs w:val="20"/>
              </w:rPr>
              <w:t xml:space="preserve">End-to-end functional focus; behavioral process not modeled</w:t>
            </w:r>
          </w:p>
        </w:tc>
      </w:tr>
    </w:tbl>
    <w:p>
      <w:pPr>
        <w:spacing w:after="40" w:before="100"/>
      </w:pPr>
    </w:p>
    <w:p>
      <w:pPr>
        <w:spacing w:after="120" w:before="0"/>
        <w:jc w:val="center"/>
      </w:pPr>
      <w:r>
        <w:rPr>
          <w:rFonts w:ascii="Arial" w:cs="Arial" w:eastAsia="Arial" w:hAnsi="Arial"/>
          <w:i/>
          <w:iCs/>
          <w:color w:val="595959"/>
          <w:sz w:val="19"/>
          <w:szCs w:val="19"/>
        </w:rPr>
        <w:t xml:space="preserve">Table 1. Existing secure code generation benchmarks and their limitations.</w:t>
      </w:r>
    </w:p>
    <w:p>
      <w:pPr>
        <w:spacing w:after="40" w:before="80"/>
      </w:pPr>
    </w:p>
    <w:p>
      <w:pPr>
        <w:spacing w:after="120" w:before="80"/>
        <w:jc w:val="both"/>
      </w:pPr>
      <w:r>
        <w:rPr>
          <w:rFonts w:ascii="Arial" w:cs="Arial" w:eastAsia="Arial" w:hAnsi="Arial"/>
          <w:color w:val="595959"/>
          <w:sz w:val="22"/>
          <w:szCs w:val="22"/>
        </w:rPr>
        <w:t xml:space="preserve">All of these benchmarks share a fundamental scope limitation: they measure whether the code artifact produced by an agent contains CWE-classified weaknesses. They do not model, observe, or evaluate whether the agent's behavioral process — its tool invocations, environment mutations, configuration decisions, dependency resolutions, and CI/CD interactions — was itself conducted securely. A benchmark that only inspects output code will never catch an agent that exposes a private key during environment setup, installs a typosquatted package during dependency resolution, or grants excessive IAM permissions during infrastructure provisioning. The proposed research addresses this gap directly.</w:t>
      </w:r>
    </w:p>
    <w:p>
      <w:pPr>
        <w:pStyle w:val="Heading2"/>
        <w:spacing w:after="120" w:before="240"/>
      </w:pPr>
      <w:r>
        <w:rPr>
          <w:rFonts w:ascii="Arial" w:cs="Arial" w:eastAsia="Arial" w:hAnsi="Arial"/>
          <w:b/>
          <w:bCs/>
          <w:color w:val="2E75B6"/>
          <w:sz w:val="26"/>
          <w:szCs w:val="26"/>
        </w:rPr>
        <w:t xml:space="preserve">2.2  Empirical Studies of Insecure Agent Behaviors</w:t>
      </w:r>
    </w:p>
    <w:p>
      <w:pPr>
        <w:spacing w:after="120" w:before="80"/>
        <w:jc w:val="both"/>
      </w:pPr>
      <w:r>
        <w:rPr>
          <w:rFonts w:ascii="Arial" w:cs="Arial" w:eastAsia="Arial" w:hAnsi="Arial"/>
          <w:color w:val="595959"/>
          <w:sz w:val="22"/>
          <w:szCs w:val="22"/>
        </w:rPr>
        <w:t xml:space="preserve">A small but growing body of work documents that agents produce insecure behaviors at the process level, not merely in output code. The most directly relevant work is:</w:t>
      </w:r>
    </w:p>
    <w:p>
      <w:pPr>
        <w:spacing w:after="20" w:before="40"/>
      </w:pPr>
    </w:p>
    <w:p>
      <w:pPr>
        <w:pStyle w:val="Heading3"/>
        <w:spacing w:after="80" w:before="200"/>
      </w:pPr>
      <w:r>
        <w:rPr>
          <w:rFonts w:ascii="Arial" w:cs="Arial" w:eastAsia="Arial" w:hAnsi="Arial"/>
          <w:b/>
          <w:bCs/>
          <w:color w:val="1F3864"/>
          <w:sz w:val="24"/>
          <w:szCs w:val="24"/>
        </w:rPr>
        <w:t xml:space="preserve">2.2.1  When Developer Aid Becomes Security Debt (arXiv:2507.09329, NeurIPS 2025)</w:t>
      </w:r>
    </w:p>
    <w:p>
      <w:pPr>
        <w:spacing w:after="120" w:before="80"/>
        <w:jc w:val="both"/>
      </w:pPr>
      <w:r>
        <w:rPr>
          <w:rFonts w:ascii="Arial" w:cs="Arial" w:eastAsia="Arial" w:hAnsi="Arial"/>
          <w:color w:val="595959"/>
          <w:sz w:val="22"/>
          <w:szCs w:val="22"/>
        </w:rPr>
        <w:t xml:space="preserve">This paper — the closest prior work to our motivation — analyzes over 12,000 agent actions across five SOTA models (GPT-4o, GPT-4.1, and multiple Claude variants) on 93 real-world software setup tasks. It reports that 21% of agent trajectories contain insecure actions, with information exposure (CWE-200) as the most prevalent category. The authors develop a detection system for four major vulnerability categories and evaluate mitigations including security reminders and feedback loops.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8"/>
              <w:bottom w:val="single" w:color="2E75B6" w:sz="6"/>
              <w:right w:val="none" w:color="FFFFFF" w:sz="0"/>
            </w:tcBorders>
            <w:shd w:fill="E8F0FC" w:val="clear"/>
            <w:tcMar>
              <w:top w:type="dxa" w:w="120"/>
              <w:left w:type="dxa" w:w="160"/>
              <w:bottom w:type="dxa" w:w="120"/>
              <w:right w:type="dxa" w:w="120"/>
            </w:tcMar>
          </w:tcPr>
          <w:p>
            <w:pPr>
              <w:spacing w:after="0" w:before="0"/>
            </w:pPr>
            <w:r>
              <w:rPr>
                <w:rFonts w:ascii="Arial" w:cs="Arial" w:eastAsia="Arial" w:hAnsi="Arial"/>
                <w:i/>
                <w:iCs/>
                <w:color w:val="595959"/>
                <w:sz w:val="22"/>
                <w:szCs w:val="22"/>
              </w:rPr>
              <w:t xml:space="preserve">Critical differentiation: This paper establishes empirical evidence that agent behavioral security problems exist and are pervasive. However, it provides (1) no taxonomy organized by SDLC lifecycle stage, (2) no formal policy framework specifying what agents should or should not do, and (3) no enforcement mechanism — observations are post hoc, not preventive. The mitigations tested (prompt reminders, feedback loops) are ad hoc and not grounded in established security standards. Our work begins where this paper ends: given that insecure behaviors exist, how do we formally specify and systematically prevent them?</w:t>
            </w:r>
          </w:p>
        </w:tc>
      </w:tr>
    </w:tbl>
    <w:p>
      <w:pPr>
        <w:spacing w:after="40" w:before="80"/>
      </w:pPr>
    </w:p>
    <w:p>
      <w:pPr>
        <w:pStyle w:val="Heading3"/>
        <w:spacing w:after="80" w:before="200"/>
      </w:pPr>
      <w:r>
        <w:rPr>
          <w:rFonts w:ascii="Arial" w:cs="Arial" w:eastAsia="Arial" w:hAnsi="Arial"/>
          <w:b/>
          <w:bCs/>
          <w:color w:val="1F3864"/>
          <w:sz w:val="24"/>
          <w:szCs w:val="24"/>
        </w:rPr>
        <w:t xml:space="preserve">2.2.2  Prompt Injection and Malicious Tool Use</w:t>
      </w:r>
    </w:p>
    <w:p>
      <w:pPr>
        <w:spacing w:after="120" w:before="80"/>
        <w:jc w:val="both"/>
      </w:pPr>
      <w:r>
        <w:rPr>
          <w:rFonts w:ascii="Arial" w:cs="Arial" w:eastAsia="Arial" w:hAnsi="Arial"/>
          <w:color w:val="595959"/>
          <w:sz w:val="22"/>
          <w:szCs w:val="22"/>
        </w:rPr>
        <w:t xml:space="preserve">AIShellJack (arXiv:2509.22040) introduces 314 attack payloads across 70 MITRE ATT&amp;CK techniques against Cursor and GitHub Copilot, achieving 41-84% attack success rates. A related meta-analysis (arXiv:2601.17548) consolidates 78 studies, finding that adaptive attack success against SOTA defenses exceeds 85% and encompasses MCP ecosystem poisoning and protocol-level exploits.</w:t>
      </w:r>
    </w:p>
    <w:p>
      <w:pPr>
        <w:spacing w:after="40" w:before="40"/>
      </w:pPr>
    </w:p>
    <w:p>
      <w:pPr>
        <w:spacing w:after="120" w:before="80"/>
        <w:jc w:val="both"/>
      </w:pPr>
      <w:r>
        <w:rPr>
          <w:rFonts w:ascii="Arial" w:cs="Arial" w:eastAsia="Arial" w:hAnsi="Arial"/>
          <w:color w:val="595959"/>
          <w:sz w:val="22"/>
          <w:szCs w:val="22"/>
        </w:rPr>
        <w:t xml:space="preserve">These studies characterize the attack surface but do not address the governance problem: how should an agent's autonomous behavior be constrained to prevent it from being weaponized? The proposed policy framework is designed to provide exactly this — runtime constraints on what tool calls an agent may execute, under what conditions, in what SDLC context.</w:t>
      </w:r>
    </w:p>
    <w:p>
      <w:pPr>
        <w:spacing w:after="40" w:before="40"/>
      </w:pPr>
    </w:p>
    <w:p>
      <w:pPr>
        <w:spacing w:after="120" w:before="80"/>
        <w:jc w:val="both"/>
      </w:pPr>
      <w:r>
        <w:rPr>
          <w:rFonts w:ascii="Arial" w:cs="Arial" w:eastAsia="Arial" w:hAnsi="Arial"/>
          <w:color w:val="595959"/>
          <w:sz w:val="22"/>
          <w:szCs w:val="22"/>
        </w:rPr>
        <w:t xml:space="preserve">Additional documented agent-level security incidents include: silent codebase exfiltration via malicious agent skills (Mitiga Security, 2025); inter-agent prompt malware propagation affecting 82.4% of tested models through communication channels; and dependency attacks where infected LoRA adapters induced agents to install malicious packages. These incidents confirm that the threat model extends well beyond code output.</w:t>
      </w:r>
    </w:p>
    <w:p>
      <w:pPr>
        <w:pStyle w:val="Heading2"/>
        <w:spacing w:after="120" w:before="240"/>
      </w:pPr>
      <w:r>
        <w:rPr>
          <w:rFonts w:ascii="Arial" w:cs="Arial" w:eastAsia="Arial" w:hAnsi="Arial"/>
          <w:b/>
          <w:bCs/>
          <w:color w:val="2E75B6"/>
          <w:sz w:val="26"/>
          <w:szCs w:val="26"/>
        </w:rPr>
        <w:t xml:space="preserve">2.3  Policy and Governance Frameworks for LLM Agents</w:t>
      </w:r>
    </w:p>
    <w:p>
      <w:pPr>
        <w:spacing w:after="120" w:before="80"/>
        <w:jc w:val="both"/>
      </w:pPr>
      <w:r>
        <w:rPr>
          <w:rFonts w:ascii="Arial" w:cs="Arial" w:eastAsia="Arial" w:hAnsi="Arial"/>
          <w:color w:val="595959"/>
          <w:sz w:val="22"/>
          <w:szCs w:val="22"/>
        </w:rPr>
        <w:t xml:space="preserve">A parallel literature on agent policy enforcement has emerged independently of the secure coding domain:</w:t>
      </w:r>
    </w:p>
    <w:p>
      <w:pPr>
        <w:spacing w:after="20" w:before="40"/>
      </w:pPr>
    </w:p>
    <w:p>
      <w:pPr>
        <w:pStyle w:val="Heading3"/>
        <w:spacing w:after="80" w:before="200"/>
      </w:pPr>
      <w:r>
        <w:rPr>
          <w:rFonts w:ascii="Arial" w:cs="Arial" w:eastAsia="Arial" w:hAnsi="Arial"/>
          <w:b/>
          <w:bCs/>
          <w:color w:val="1F3864"/>
          <w:sz w:val="24"/>
          <w:szCs w:val="24"/>
        </w:rPr>
        <w:t xml:space="preserve">2.3.1  Policy Compiler for Secure Agentic Systems / PCAS (arXiv:2602.16708)</w:t>
      </w:r>
    </w:p>
    <w:p>
      <w:pPr>
        <w:spacing w:after="120" w:before="80"/>
        <w:jc w:val="both"/>
      </w:pPr>
      <w:r>
        <w:rPr>
          <w:rFonts w:ascii="Arial" w:cs="Arial" w:eastAsia="Arial" w:hAnsi="Arial"/>
          <w:color w:val="595959"/>
          <w:sz w:val="22"/>
          <w:szCs w:val="22"/>
        </w:rPr>
        <w:t xml:space="preserve">PCAS models agent state as a dependency graph capturing causal relationships among tool calls, results, and messages. Policies are expressed in a Datalog-derived declarative language; a reference monitor intercepts and blocks violations before execution. On customer-service authorization tasks, PCAS improves policy compliance from 48% to 93% across frontier models.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8"/>
              <w:bottom w:val="single" w:color="2E75B6" w:sz="6"/>
              <w:right w:val="none" w:color="FFFFFF" w:sz="0"/>
            </w:tcBorders>
            <w:shd w:fill="E8F0FC" w:val="clear"/>
            <w:tcMar>
              <w:top w:type="dxa" w:w="120"/>
              <w:left w:type="dxa" w:w="160"/>
              <w:bottom w:type="dxa" w:w="120"/>
              <w:right w:type="dxa" w:w="120"/>
            </w:tcMar>
          </w:tcPr>
          <w:p>
            <w:pPr>
              <w:spacing w:after="0" w:before="0"/>
            </w:pPr>
            <w:r>
              <w:rPr>
                <w:rFonts w:ascii="Arial" w:cs="Arial" w:eastAsia="Arial" w:hAnsi="Arial"/>
                <w:i/>
                <w:iCs/>
                <w:color w:val="595959"/>
                <w:sz w:val="22"/>
                <w:szCs w:val="22"/>
              </w:rPr>
              <w:t xml:space="preserve">Critical differentiation: PCAS demonstrates that runtime policy enforcement over agent tool use is technically feasible and effective. However, its entire domain is customer-service authorization (e.g., 'refund amounts must not exceed $500'). It has no awareness of software development security behaviors, no SDLC stage concepts, and no grounding in security standards. The policy language and enforcement architecture are general-purpose; the domain application is orthogonal to ours. We inherit the feasibility finding and the reference-monitor architecture pattern, but our contribution is the domain-specific policy vocabulary and taxonomy for software security.</w:t>
            </w:r>
          </w:p>
        </w:tc>
      </w:tr>
    </w:tbl>
    <w:p>
      <w:pPr>
        <w:spacing w:after="40" w:before="80"/>
      </w:pPr>
    </w:p>
    <w:p>
      <w:pPr>
        <w:pStyle w:val="Heading3"/>
        <w:spacing w:after="80" w:before="200"/>
      </w:pPr>
      <w:r>
        <w:rPr>
          <w:rFonts w:ascii="Arial" w:cs="Arial" w:eastAsia="Arial" w:hAnsi="Arial"/>
          <w:b/>
          <w:bCs/>
          <w:color w:val="1F3864"/>
          <w:sz w:val="24"/>
          <w:szCs w:val="24"/>
        </w:rPr>
        <w:t xml:space="preserve">2.3.2  Agent Behavioral Contracts (arXiv:2602.22302)</w:t>
      </w:r>
    </w:p>
    <w:p>
      <w:pPr>
        <w:spacing w:after="120" w:before="80"/>
        <w:jc w:val="both"/>
      </w:pPr>
      <w:r>
        <w:rPr>
          <w:rFonts w:ascii="Arial" w:cs="Arial" w:eastAsia="Arial" w:hAnsi="Arial"/>
          <w:color w:val="595959"/>
          <w:sz w:val="22"/>
          <w:szCs w:val="22"/>
        </w:rPr>
        <w:t xml:space="preserve">This work formalizes Design-by-Contract principles for agents, defining a contract as C = (P, I, G, R) covering Preconditions, Invariants, Governance policies, and Recovery mechanisms. It introduces (p, delta, k)-satisfaction to handle LLM non-determinism and reports that contracted agents detect 5.2-6.8 soft violations per session missed by unconstrained baselines.</w:t>
      </w:r>
    </w:p>
    <w:p>
      <w:pPr>
        <w:spacing w:after="40" w:before="40"/>
      </w:pPr>
    </w:p>
    <w:p>
      <w:pPr>
        <w:spacing w:after="120" w:before="80"/>
        <w:jc w:val="both"/>
      </w:pPr>
      <w:r>
        <w:rPr>
          <w:rFonts w:ascii="Arial" w:cs="Arial" w:eastAsia="Arial" w:hAnsi="Arial"/>
          <w:color w:val="595959"/>
          <w:sz w:val="22"/>
          <w:szCs w:val="22"/>
        </w:rPr>
        <w:t xml:space="preserve">Like PCAS, this work is domain-agnostic and security-agnostic. Its formal contract model is an inspiration for policy specification syntax, but its evaluation benchmarks have no software security dimension. The SDLC lifecycle stage as a policy scoping unit is entirely absent.</w:t>
      </w:r>
    </w:p>
    <w:p>
      <w:pPr>
        <w:pStyle w:val="Heading3"/>
        <w:spacing w:after="80" w:before="200"/>
      </w:pPr>
      <w:r>
        <w:rPr>
          <w:rFonts w:ascii="Arial" w:cs="Arial" w:eastAsia="Arial" w:hAnsi="Arial"/>
          <w:b/>
          <w:bCs/>
          <w:color w:val="1F3864"/>
          <w:sz w:val="24"/>
          <w:szCs w:val="24"/>
        </w:rPr>
        <w:t xml:space="preserve">2.3.3  Temporal and Safety Constraint Enforcement</w:t>
      </w:r>
    </w:p>
    <w:p>
      <w:pPr>
        <w:spacing w:after="120" w:before="80"/>
        <w:jc w:val="both"/>
      </w:pPr>
      <w:r>
        <w:rPr>
          <w:rFonts w:ascii="Arial" w:cs="Arial" w:eastAsia="Arial" w:hAnsi="Arial"/>
          <w:color w:val="595959"/>
          <w:sz w:val="22"/>
          <w:szCs w:val="22"/>
        </w:rPr>
        <w:t xml:space="preserve">Agent-C (arXiv:2512.23738) provides a DSL for temporal and state-dependent constraints compiled to first-order logic, achieving 100% conformance in task-sequencing experiments. Customizable Runtime Enforcement (arXiv:2503.18666) provides a general shield framework targeting reliability failures. Neither applies to software security behaviors or models SDLC context.</w:t>
      </w:r>
    </w:p>
    <w:p>
      <w:pPr>
        <w:pStyle w:val="Heading2"/>
        <w:spacing w:after="120" w:before="240"/>
      </w:pPr>
      <w:r>
        <w:rPr>
          <w:rFonts w:ascii="Arial" w:cs="Arial" w:eastAsia="Arial" w:hAnsi="Arial"/>
          <w:b/>
          <w:bCs/>
          <w:color w:val="2E75B6"/>
          <w:sz w:val="26"/>
          <w:szCs w:val="26"/>
        </w:rPr>
        <w:t xml:space="preserve">2.4  Summary: The Gap This Proposal Fills</w:t>
      </w:r>
    </w:p>
    <w:p>
      <w:pPr>
        <w:spacing w:after="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1560"/>
        <w:gridCol w:w="1560"/>
        <w:gridCol w:w="1680"/>
      </w:tblGrid>
      <w:tr>
        <w:tc>
          <w:tcPr>
            <w:tcW w:type="dxa" w:w="3000"/>
            <w:tcBorders>
              <w:top w:val="single" w:color="C9D5E8" w:sz="1"/>
              <w:left w:val="single" w:color="C9D5E8" w:sz="1"/>
              <w:bottom w:val="single" w:color="C9D5E8" w:sz="1"/>
              <w:right w:val="single" w:color="C9D5E8"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Capability / Property</w:t>
            </w:r>
          </w:p>
        </w:tc>
        <w:tc>
          <w:tcPr>
            <w:tcW w:type="dxa" w:w="1560"/>
            <w:tcBorders>
              <w:top w:val="single" w:color="C9D5E8" w:sz="1"/>
              <w:left w:val="single" w:color="C9D5E8" w:sz="1"/>
              <w:bottom w:val="single" w:color="C9D5E8" w:sz="1"/>
              <w:right w:val="single" w:color="C9D5E8"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Secure Code Benchmarks</w:t>
            </w:r>
          </w:p>
        </w:tc>
        <w:tc>
          <w:tcPr>
            <w:tcW w:type="dxa" w:w="1560"/>
            <w:tcBorders>
              <w:top w:val="single" w:color="C9D5E8" w:sz="1"/>
              <w:left w:val="single" w:color="C9D5E8" w:sz="1"/>
              <w:bottom w:val="single" w:color="C9D5E8" w:sz="1"/>
              <w:right w:val="single" w:color="C9D5E8"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Security Debt Paper</w:t>
            </w:r>
          </w:p>
        </w:tc>
        <w:tc>
          <w:tcPr>
            <w:tcW w:type="dxa" w:w="1560"/>
            <w:tcBorders>
              <w:top w:val="single" w:color="C9D5E8" w:sz="1"/>
              <w:left w:val="single" w:color="C9D5E8" w:sz="1"/>
              <w:bottom w:val="single" w:color="C9D5E8" w:sz="1"/>
              <w:right w:val="single" w:color="C9D5E8"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PCAS / ABC</w:t>
            </w:r>
          </w:p>
        </w:tc>
        <w:tc>
          <w:tcPr>
            <w:tcW w:type="dxa" w:w="1680"/>
            <w:tcBorders>
              <w:top w:val="single" w:color="C9D5E8" w:sz="1"/>
              <w:left w:val="single" w:color="C9D5E8" w:sz="1"/>
              <w:bottom w:val="single" w:color="C9D5E8" w:sz="1"/>
              <w:right w:val="single" w:color="C9D5E8"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This Proposal</w:t>
            </w:r>
          </w:p>
        </w:tc>
      </w:tr>
      <w:tr>
        <w:tc>
          <w:tcPr>
            <w:tcW w:type="dxa" w:w="300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r>
              <w:rPr>
                <w:rFonts w:ascii="Arial" w:cs="Arial" w:eastAsia="Arial" w:hAnsi="Arial"/>
                <w:b w:val="false"/>
                <w:bCs w:val="false"/>
                <w:color w:val="595959"/>
                <w:sz w:val="20"/>
                <w:szCs w:val="20"/>
              </w:rPr>
              <w:t xml:space="preserve">Agent-level (non-code) behavior analysis</w:t>
            </w:r>
          </w:p>
        </w:tc>
        <w:tc>
          <w:tcPr>
            <w:tcW w:type="dxa" w:w="156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pPr>
              <w:jc w:val="center"/>
            </w:pPr>
            <w:r>
              <w:rPr>
                <w:rFonts w:ascii="Arial" w:cs="Arial" w:eastAsia="Arial" w:hAnsi="Arial"/>
                <w:b w:val="false"/>
                <w:bCs w:val="false"/>
                <w:color w:val="595959"/>
                <w:sz w:val="20"/>
                <w:szCs w:val="20"/>
              </w:rPr>
              <w:t xml:space="preserve">Partial</w:t>
            </w:r>
          </w:p>
        </w:tc>
        <w:tc>
          <w:tcPr>
            <w:tcW w:type="dxa" w:w="156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pPr>
              <w:jc w:val="center"/>
            </w:pPr>
            <w:r>
              <w:rPr>
                <w:rFonts w:ascii="Arial" w:cs="Arial" w:eastAsia="Arial" w:hAnsi="Arial"/>
                <w:b w:val="false"/>
                <w:bCs w:val="false"/>
                <w:color w:val="595959"/>
                <w:sz w:val="20"/>
                <w:szCs w:val="20"/>
              </w:rPr>
              <w:t xml:space="preserve">Yes</w:t>
            </w:r>
          </w:p>
        </w:tc>
        <w:tc>
          <w:tcPr>
            <w:tcW w:type="dxa" w:w="156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pPr>
              <w:jc w:val="center"/>
            </w:pPr>
            <w:r>
              <w:rPr>
                <w:rFonts w:ascii="Arial" w:cs="Arial" w:eastAsia="Arial" w:hAnsi="Arial"/>
                <w:b w:val="false"/>
                <w:bCs w:val="false"/>
                <w:color w:val="595959"/>
                <w:sz w:val="20"/>
                <w:szCs w:val="20"/>
              </w:rPr>
              <w:t xml:space="preserve">Yes</w:t>
            </w:r>
          </w:p>
        </w:tc>
        <w:tc>
          <w:tcPr>
            <w:tcW w:type="dxa" w:w="168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pPr>
              <w:jc w:val="center"/>
            </w:pPr>
            <w:r>
              <w:rPr>
                <w:rFonts w:ascii="Arial" w:cs="Arial" w:eastAsia="Arial" w:hAnsi="Arial"/>
                <w:b w:val="false"/>
                <w:bCs w:val="false"/>
                <w:color w:val="595959"/>
                <w:sz w:val="20"/>
                <w:szCs w:val="20"/>
              </w:rPr>
              <w:t xml:space="preserve">Yes</w:t>
            </w:r>
          </w:p>
        </w:tc>
      </w:tr>
      <w:tr>
        <w:tc>
          <w:tcPr>
            <w:tcW w:type="dxa" w:w="3000"/>
            <w:tcBorders>
              <w:top w:val="single" w:color="C9D5E8" w:sz="1"/>
              <w:left w:val="single" w:color="C9D5E8" w:sz="1"/>
              <w:bottom w:val="single" w:color="C9D5E8" w:sz="1"/>
              <w:right w:val="single" w:color="C9D5E8"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SDLC lifecycle stage classification</w:t>
            </w:r>
          </w:p>
        </w:tc>
        <w:tc>
          <w:tcPr>
            <w:tcW w:type="dxa" w:w="1560"/>
            <w:tcBorders>
              <w:top w:val="single" w:color="C9D5E8" w:sz="1"/>
              <w:left w:val="single" w:color="C9D5E8" w:sz="1"/>
              <w:bottom w:val="single" w:color="C9D5E8" w:sz="1"/>
              <w:right w:val="single" w:color="C9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0"/>
                <w:szCs w:val="20"/>
              </w:rPr>
              <w:t xml:space="preserve">No</w:t>
            </w:r>
          </w:p>
        </w:tc>
        <w:tc>
          <w:tcPr>
            <w:tcW w:type="dxa" w:w="1560"/>
            <w:tcBorders>
              <w:top w:val="single" w:color="C9D5E8" w:sz="1"/>
              <w:left w:val="single" w:color="C9D5E8" w:sz="1"/>
              <w:bottom w:val="single" w:color="C9D5E8" w:sz="1"/>
              <w:right w:val="single" w:color="C9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0"/>
                <w:szCs w:val="20"/>
              </w:rPr>
              <w:t xml:space="preserve">No</w:t>
            </w:r>
          </w:p>
        </w:tc>
        <w:tc>
          <w:tcPr>
            <w:tcW w:type="dxa" w:w="1560"/>
            <w:tcBorders>
              <w:top w:val="single" w:color="C9D5E8" w:sz="1"/>
              <w:left w:val="single" w:color="C9D5E8" w:sz="1"/>
              <w:bottom w:val="single" w:color="C9D5E8" w:sz="1"/>
              <w:right w:val="single" w:color="C9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0"/>
                <w:szCs w:val="20"/>
              </w:rPr>
              <w:t xml:space="preserve">No</w:t>
            </w:r>
          </w:p>
        </w:tc>
        <w:tc>
          <w:tcPr>
            <w:tcW w:type="dxa" w:w="1680"/>
            <w:tcBorders>
              <w:top w:val="single" w:color="C9D5E8" w:sz="1"/>
              <w:left w:val="single" w:color="C9D5E8" w:sz="1"/>
              <w:bottom w:val="single" w:color="C9D5E8" w:sz="1"/>
              <w:right w:val="single" w:color="C9D5E8" w:sz="1"/>
            </w:tcBorders>
            <w:shd w:fill="FFFFFF" w:val="clear"/>
            <w:tcMar>
              <w:top w:type="dxa" w:w="80"/>
              <w:left w:type="dxa" w:w="120"/>
              <w:bottom w:type="dxa" w:w="80"/>
              <w:right w:type="dxa" w:w="120"/>
            </w:tcMar>
          </w:tcPr>
          <w:p>
            <w:pPr>
              <w:jc w:val="center"/>
            </w:pPr>
            <w:r>
              <w:rPr>
                <w:rFonts w:ascii="Arial" w:cs="Arial" w:eastAsia="Arial" w:hAnsi="Arial"/>
                <w:b/>
                <w:bCs/>
                <w:color w:val="595959"/>
                <w:sz w:val="20"/>
                <w:szCs w:val="20"/>
              </w:rPr>
              <w:t xml:space="preserve">Yes</w:t>
            </w:r>
          </w:p>
        </w:tc>
      </w:tr>
      <w:tr>
        <w:tc>
          <w:tcPr>
            <w:tcW w:type="dxa" w:w="300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r>
              <w:rPr>
                <w:rFonts w:ascii="Arial" w:cs="Arial" w:eastAsia="Arial" w:hAnsi="Arial"/>
                <w:b w:val="false"/>
                <w:bCs w:val="false"/>
                <w:color w:val="595959"/>
                <w:sz w:val="20"/>
                <w:szCs w:val="20"/>
              </w:rPr>
              <w:t xml:space="preserve">Grounded in security standards (NIST/OWASP/CWE)</w:t>
            </w:r>
          </w:p>
        </w:tc>
        <w:tc>
          <w:tcPr>
            <w:tcW w:type="dxa" w:w="156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pPr>
              <w:jc w:val="center"/>
            </w:pPr>
            <w:r>
              <w:rPr>
                <w:rFonts w:ascii="Arial" w:cs="Arial" w:eastAsia="Arial" w:hAnsi="Arial"/>
                <w:b w:val="false"/>
                <w:bCs w:val="false"/>
                <w:color w:val="595959"/>
                <w:sz w:val="20"/>
                <w:szCs w:val="20"/>
              </w:rPr>
              <w:t xml:space="preserve">Partial</w:t>
            </w:r>
          </w:p>
        </w:tc>
        <w:tc>
          <w:tcPr>
            <w:tcW w:type="dxa" w:w="156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pPr>
              <w:jc w:val="center"/>
            </w:pPr>
            <w:r>
              <w:rPr>
                <w:rFonts w:ascii="Arial" w:cs="Arial" w:eastAsia="Arial" w:hAnsi="Arial"/>
                <w:b w:val="false"/>
                <w:bCs w:val="false"/>
                <w:color w:val="595959"/>
                <w:sz w:val="20"/>
                <w:szCs w:val="20"/>
              </w:rPr>
              <w:t xml:space="preserve">Partial</w:t>
            </w:r>
          </w:p>
        </w:tc>
        <w:tc>
          <w:tcPr>
            <w:tcW w:type="dxa" w:w="156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pPr>
              <w:jc w:val="center"/>
            </w:pPr>
            <w:r>
              <w:rPr>
                <w:rFonts w:ascii="Arial" w:cs="Arial" w:eastAsia="Arial" w:hAnsi="Arial"/>
                <w:b w:val="false"/>
                <w:bCs w:val="false"/>
                <w:color w:val="595959"/>
                <w:sz w:val="20"/>
                <w:szCs w:val="20"/>
              </w:rPr>
              <w:t xml:space="preserve">No</w:t>
            </w:r>
          </w:p>
        </w:tc>
        <w:tc>
          <w:tcPr>
            <w:tcW w:type="dxa" w:w="168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pPr>
              <w:jc w:val="center"/>
            </w:pPr>
            <w:r>
              <w:rPr>
                <w:rFonts w:ascii="Arial" w:cs="Arial" w:eastAsia="Arial" w:hAnsi="Arial"/>
                <w:b/>
                <w:bCs/>
                <w:color w:val="595959"/>
                <w:sz w:val="20"/>
                <w:szCs w:val="20"/>
              </w:rPr>
              <w:t xml:space="preserve">Yes</w:t>
            </w:r>
          </w:p>
        </w:tc>
      </w:tr>
      <w:tr>
        <w:tc>
          <w:tcPr>
            <w:tcW w:type="dxa" w:w="3000"/>
            <w:tcBorders>
              <w:top w:val="single" w:color="C9D5E8" w:sz="1"/>
              <w:left w:val="single" w:color="C9D5E8" w:sz="1"/>
              <w:bottom w:val="single" w:color="C9D5E8" w:sz="1"/>
              <w:right w:val="single" w:color="C9D5E8"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Formal policy specification language</w:t>
            </w:r>
          </w:p>
        </w:tc>
        <w:tc>
          <w:tcPr>
            <w:tcW w:type="dxa" w:w="1560"/>
            <w:tcBorders>
              <w:top w:val="single" w:color="C9D5E8" w:sz="1"/>
              <w:left w:val="single" w:color="C9D5E8" w:sz="1"/>
              <w:bottom w:val="single" w:color="C9D5E8" w:sz="1"/>
              <w:right w:val="single" w:color="C9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0"/>
                <w:szCs w:val="20"/>
              </w:rPr>
              <w:t xml:space="preserve">No</w:t>
            </w:r>
          </w:p>
        </w:tc>
        <w:tc>
          <w:tcPr>
            <w:tcW w:type="dxa" w:w="1560"/>
            <w:tcBorders>
              <w:top w:val="single" w:color="C9D5E8" w:sz="1"/>
              <w:left w:val="single" w:color="C9D5E8" w:sz="1"/>
              <w:bottom w:val="single" w:color="C9D5E8" w:sz="1"/>
              <w:right w:val="single" w:color="C9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0"/>
                <w:szCs w:val="20"/>
              </w:rPr>
              <w:t xml:space="preserve">No</w:t>
            </w:r>
          </w:p>
        </w:tc>
        <w:tc>
          <w:tcPr>
            <w:tcW w:type="dxa" w:w="1560"/>
            <w:tcBorders>
              <w:top w:val="single" w:color="C9D5E8" w:sz="1"/>
              <w:left w:val="single" w:color="C9D5E8" w:sz="1"/>
              <w:bottom w:val="single" w:color="C9D5E8" w:sz="1"/>
              <w:right w:val="single" w:color="C9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0"/>
                <w:szCs w:val="20"/>
              </w:rPr>
              <w:t xml:space="preserve">Yes</w:t>
            </w:r>
          </w:p>
        </w:tc>
        <w:tc>
          <w:tcPr>
            <w:tcW w:type="dxa" w:w="1680"/>
            <w:tcBorders>
              <w:top w:val="single" w:color="C9D5E8" w:sz="1"/>
              <w:left w:val="single" w:color="C9D5E8" w:sz="1"/>
              <w:bottom w:val="single" w:color="C9D5E8" w:sz="1"/>
              <w:right w:val="single" w:color="C9D5E8" w:sz="1"/>
            </w:tcBorders>
            <w:shd w:fill="FFFFFF" w:val="clear"/>
            <w:tcMar>
              <w:top w:type="dxa" w:w="80"/>
              <w:left w:type="dxa" w:w="120"/>
              <w:bottom w:type="dxa" w:w="80"/>
              <w:right w:type="dxa" w:w="120"/>
            </w:tcMar>
          </w:tcPr>
          <w:p>
            <w:pPr>
              <w:jc w:val="center"/>
            </w:pPr>
            <w:r>
              <w:rPr>
                <w:rFonts w:ascii="Arial" w:cs="Arial" w:eastAsia="Arial" w:hAnsi="Arial"/>
                <w:b/>
                <w:bCs/>
                <w:color w:val="595959"/>
                <w:sz w:val="20"/>
                <w:szCs w:val="20"/>
              </w:rPr>
              <w:t xml:space="preserve">Yes</w:t>
            </w:r>
          </w:p>
        </w:tc>
      </w:tr>
      <w:tr>
        <w:tc>
          <w:tcPr>
            <w:tcW w:type="dxa" w:w="300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r>
              <w:rPr>
                <w:rFonts w:ascii="Arial" w:cs="Arial" w:eastAsia="Arial" w:hAnsi="Arial"/>
                <w:b w:val="false"/>
                <w:bCs w:val="false"/>
                <w:color w:val="595959"/>
                <w:sz w:val="20"/>
                <w:szCs w:val="20"/>
              </w:rPr>
              <w:t xml:space="preserve">Runtime enforcement (preventive, not post hoc)</w:t>
            </w:r>
          </w:p>
        </w:tc>
        <w:tc>
          <w:tcPr>
            <w:tcW w:type="dxa" w:w="156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pPr>
              <w:jc w:val="center"/>
            </w:pPr>
            <w:r>
              <w:rPr>
                <w:rFonts w:ascii="Arial" w:cs="Arial" w:eastAsia="Arial" w:hAnsi="Arial"/>
                <w:b w:val="false"/>
                <w:bCs w:val="false"/>
                <w:color w:val="595959"/>
                <w:sz w:val="20"/>
                <w:szCs w:val="20"/>
              </w:rPr>
              <w:t xml:space="preserve">No</w:t>
            </w:r>
          </w:p>
        </w:tc>
        <w:tc>
          <w:tcPr>
            <w:tcW w:type="dxa" w:w="156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pPr>
              <w:jc w:val="center"/>
            </w:pPr>
            <w:r>
              <w:rPr>
                <w:rFonts w:ascii="Arial" w:cs="Arial" w:eastAsia="Arial" w:hAnsi="Arial"/>
                <w:b w:val="false"/>
                <w:bCs w:val="false"/>
                <w:color w:val="595959"/>
                <w:sz w:val="20"/>
                <w:szCs w:val="20"/>
              </w:rPr>
              <w:t xml:space="preserve">No</w:t>
            </w:r>
          </w:p>
        </w:tc>
        <w:tc>
          <w:tcPr>
            <w:tcW w:type="dxa" w:w="156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pPr>
              <w:jc w:val="center"/>
            </w:pPr>
            <w:r>
              <w:rPr>
                <w:rFonts w:ascii="Arial" w:cs="Arial" w:eastAsia="Arial" w:hAnsi="Arial"/>
                <w:b w:val="false"/>
                <w:bCs w:val="false"/>
                <w:color w:val="595959"/>
                <w:sz w:val="20"/>
                <w:szCs w:val="20"/>
              </w:rPr>
              <w:t xml:space="preserve">Yes</w:t>
            </w:r>
          </w:p>
        </w:tc>
        <w:tc>
          <w:tcPr>
            <w:tcW w:type="dxa" w:w="168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pPr>
              <w:jc w:val="center"/>
            </w:pPr>
            <w:r>
              <w:rPr>
                <w:rFonts w:ascii="Arial" w:cs="Arial" w:eastAsia="Arial" w:hAnsi="Arial"/>
                <w:b/>
                <w:bCs/>
                <w:color w:val="595959"/>
                <w:sz w:val="20"/>
                <w:szCs w:val="20"/>
              </w:rPr>
              <w:t xml:space="preserve">Yes</w:t>
            </w:r>
          </w:p>
        </w:tc>
      </w:tr>
      <w:tr>
        <w:tc>
          <w:tcPr>
            <w:tcW w:type="dxa" w:w="3000"/>
            <w:tcBorders>
              <w:top w:val="single" w:color="C9D5E8" w:sz="1"/>
              <w:left w:val="single" w:color="C9D5E8" w:sz="1"/>
              <w:bottom w:val="single" w:color="C9D5E8" w:sz="1"/>
              <w:right w:val="single" w:color="C9D5E8"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Coding agent domain specialization</w:t>
            </w:r>
          </w:p>
        </w:tc>
        <w:tc>
          <w:tcPr>
            <w:tcW w:type="dxa" w:w="1560"/>
            <w:tcBorders>
              <w:top w:val="single" w:color="C9D5E8" w:sz="1"/>
              <w:left w:val="single" w:color="C9D5E8" w:sz="1"/>
              <w:bottom w:val="single" w:color="C9D5E8" w:sz="1"/>
              <w:right w:val="single" w:color="C9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0"/>
                <w:szCs w:val="20"/>
              </w:rPr>
              <w:t xml:space="preserve">Yes</w:t>
            </w:r>
          </w:p>
        </w:tc>
        <w:tc>
          <w:tcPr>
            <w:tcW w:type="dxa" w:w="1560"/>
            <w:tcBorders>
              <w:top w:val="single" w:color="C9D5E8" w:sz="1"/>
              <w:left w:val="single" w:color="C9D5E8" w:sz="1"/>
              <w:bottom w:val="single" w:color="C9D5E8" w:sz="1"/>
              <w:right w:val="single" w:color="C9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0"/>
                <w:szCs w:val="20"/>
              </w:rPr>
              <w:t xml:space="preserve">Yes</w:t>
            </w:r>
          </w:p>
        </w:tc>
        <w:tc>
          <w:tcPr>
            <w:tcW w:type="dxa" w:w="1560"/>
            <w:tcBorders>
              <w:top w:val="single" w:color="C9D5E8" w:sz="1"/>
              <w:left w:val="single" w:color="C9D5E8" w:sz="1"/>
              <w:bottom w:val="single" w:color="C9D5E8" w:sz="1"/>
              <w:right w:val="single" w:color="C9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0"/>
                <w:szCs w:val="20"/>
              </w:rPr>
              <w:t xml:space="preserve">No</w:t>
            </w:r>
          </w:p>
        </w:tc>
        <w:tc>
          <w:tcPr>
            <w:tcW w:type="dxa" w:w="1680"/>
            <w:tcBorders>
              <w:top w:val="single" w:color="C9D5E8" w:sz="1"/>
              <w:left w:val="single" w:color="C9D5E8" w:sz="1"/>
              <w:bottom w:val="single" w:color="C9D5E8" w:sz="1"/>
              <w:right w:val="single" w:color="C9D5E8" w:sz="1"/>
            </w:tcBorders>
            <w:shd w:fill="FFFFFF" w:val="clear"/>
            <w:tcMar>
              <w:top w:type="dxa" w:w="80"/>
              <w:left w:type="dxa" w:w="120"/>
              <w:bottom w:type="dxa" w:w="80"/>
              <w:right w:type="dxa" w:w="120"/>
            </w:tcMar>
          </w:tcPr>
          <w:p>
            <w:pPr>
              <w:jc w:val="center"/>
            </w:pPr>
            <w:r>
              <w:rPr>
                <w:rFonts w:ascii="Arial" w:cs="Arial" w:eastAsia="Arial" w:hAnsi="Arial"/>
                <w:b/>
                <w:bCs/>
                <w:color w:val="595959"/>
                <w:sz w:val="20"/>
                <w:szCs w:val="20"/>
              </w:rPr>
              <w:t xml:space="preserve">Yes</w:t>
            </w:r>
          </w:p>
        </w:tc>
      </w:tr>
      <w:tr>
        <w:tc>
          <w:tcPr>
            <w:tcW w:type="dxa" w:w="300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r>
              <w:rPr>
                <w:rFonts w:ascii="Arial" w:cs="Arial" w:eastAsia="Arial" w:hAnsi="Arial"/>
                <w:b w:val="false"/>
                <w:bCs w:val="false"/>
                <w:color w:val="595959"/>
                <w:sz w:val="20"/>
                <w:szCs w:val="20"/>
              </w:rPr>
              <w:t xml:space="preserve">Benchmark for lifecycle-wide agent security</w:t>
            </w:r>
          </w:p>
        </w:tc>
        <w:tc>
          <w:tcPr>
            <w:tcW w:type="dxa" w:w="156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pPr>
              <w:jc w:val="center"/>
            </w:pPr>
            <w:r>
              <w:rPr>
                <w:rFonts w:ascii="Arial" w:cs="Arial" w:eastAsia="Arial" w:hAnsi="Arial"/>
                <w:b w:val="false"/>
                <w:bCs w:val="false"/>
                <w:color w:val="595959"/>
                <w:sz w:val="20"/>
                <w:szCs w:val="20"/>
              </w:rPr>
              <w:t xml:space="preserve">No</w:t>
            </w:r>
          </w:p>
        </w:tc>
        <w:tc>
          <w:tcPr>
            <w:tcW w:type="dxa" w:w="156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pPr>
              <w:jc w:val="center"/>
            </w:pPr>
            <w:r>
              <w:rPr>
                <w:rFonts w:ascii="Arial" w:cs="Arial" w:eastAsia="Arial" w:hAnsi="Arial"/>
                <w:b w:val="false"/>
                <w:bCs w:val="false"/>
                <w:color w:val="595959"/>
                <w:sz w:val="20"/>
                <w:szCs w:val="20"/>
              </w:rPr>
              <w:t xml:space="preserve">No</w:t>
            </w:r>
          </w:p>
        </w:tc>
        <w:tc>
          <w:tcPr>
            <w:tcW w:type="dxa" w:w="156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pPr>
              <w:jc w:val="center"/>
            </w:pPr>
            <w:r>
              <w:rPr>
                <w:rFonts w:ascii="Arial" w:cs="Arial" w:eastAsia="Arial" w:hAnsi="Arial"/>
                <w:b w:val="false"/>
                <w:bCs w:val="false"/>
                <w:color w:val="595959"/>
                <w:sz w:val="20"/>
                <w:szCs w:val="20"/>
              </w:rPr>
              <w:t xml:space="preserve">No</w:t>
            </w:r>
          </w:p>
        </w:tc>
        <w:tc>
          <w:tcPr>
            <w:tcW w:type="dxa" w:w="168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pPr>
              <w:jc w:val="center"/>
            </w:pPr>
            <w:r>
              <w:rPr>
                <w:rFonts w:ascii="Arial" w:cs="Arial" w:eastAsia="Arial" w:hAnsi="Arial"/>
                <w:b/>
                <w:bCs/>
                <w:color w:val="595959"/>
                <w:sz w:val="20"/>
                <w:szCs w:val="20"/>
              </w:rPr>
              <w:t xml:space="preserve">Yes</w:t>
            </w:r>
          </w:p>
        </w:tc>
      </w:tr>
    </w:tbl>
    <w:p>
      <w:pPr>
        <w:spacing w:after="40" w:before="100"/>
      </w:pPr>
    </w:p>
    <w:p>
      <w:pPr>
        <w:spacing w:after="120" w:before="0"/>
        <w:jc w:val="center"/>
      </w:pPr>
      <w:r>
        <w:rPr>
          <w:rFonts w:ascii="Arial" w:cs="Arial" w:eastAsia="Arial" w:hAnsi="Arial"/>
          <w:i/>
          <w:iCs/>
          <w:color w:val="595959"/>
          <w:sz w:val="19"/>
          <w:szCs w:val="19"/>
        </w:rPr>
        <w:t xml:space="preserve">Table 2. Positioning of this proposal relative to closely related work. Bold 'Yes' entries are novel contributions.</w:t>
      </w:r>
    </w:p>
    <w:p>
      <w:r>
        <w:br w:type="page"/>
      </w:r>
    </w:p>
    <w:p>
      <w:pPr>
        <w:pStyle w:val="Heading1"/>
        <w:spacing w:after="160" w:before="320"/>
      </w:pPr>
      <w:r>
        <w:rPr>
          <w:rFonts w:ascii="Arial" w:cs="Arial" w:eastAsia="Arial" w:hAnsi="Arial"/>
          <w:b/>
          <w:bCs/>
          <w:color w:val="1F3864"/>
          <w:sz w:val="32"/>
          <w:szCs w:val="32"/>
        </w:rPr>
        <w:t xml:space="preserve">3.  Research Questions and Objectives</w:t>
      </w:r>
    </w:p>
    <w:p>
      <w:pPr>
        <w:pBdr>
          <w:bottom w:val="single" w:color="2E75B6" w:sz="4" w:space="1"/>
        </w:pBdr>
        <w:spacing w:after="40" w:before="40"/>
      </w:pP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9D5E8" w:sz="1"/>
              <w:left w:val="single" w:color="C9D5E8" w:sz="1"/>
              <w:bottom w:val="single" w:color="C9D5E8" w:sz="1"/>
              <w:right w:val="single" w:color="C9D5E8"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RQ</w:t>
            </w:r>
          </w:p>
        </w:tc>
        <w:tc>
          <w:tcPr>
            <w:tcW w:type="dxa" w:w="8160"/>
            <w:tcBorders>
              <w:top w:val="single" w:color="C9D5E8" w:sz="1"/>
              <w:left w:val="single" w:color="C9D5E8" w:sz="1"/>
              <w:bottom w:val="single" w:color="C9D5E8" w:sz="1"/>
              <w:right w:val="single" w:color="C9D5E8"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Research Question</w:t>
            </w:r>
          </w:p>
        </w:tc>
      </w:tr>
      <w:tr>
        <w:tc>
          <w:tcPr>
            <w:tcW w:type="dxa" w:w="1200"/>
            <w:tcBorders>
              <w:top w:val="single" w:color="C9D5E8" w:sz="1"/>
              <w:left w:val="single" w:color="C9D5E8" w:sz="1"/>
              <w:bottom w:val="single" w:color="C9D5E8" w:sz="1"/>
              <w:right w:val="single" w:color="C9D5E8" w:sz="1"/>
            </w:tcBorders>
            <w:shd w:fill="D9E2F3" w:val="clear"/>
            <w:tcMar>
              <w:top w:type="dxa" w:w="80"/>
              <w:left w:type="dxa" w:w="120"/>
              <w:bottom w:type="dxa" w:w="80"/>
              <w:right w:type="dxa" w:w="120"/>
            </w:tcMar>
          </w:tcPr>
          <w:p>
            <w:r>
              <w:rPr>
                <w:rFonts w:ascii="Arial" w:cs="Arial" w:eastAsia="Arial" w:hAnsi="Arial"/>
                <w:b/>
                <w:bCs/>
                <w:color w:val="595959"/>
                <w:sz w:val="20"/>
                <w:szCs w:val="20"/>
              </w:rPr>
              <w:t xml:space="preserve">RQ1</w:t>
            </w:r>
          </w:p>
        </w:tc>
        <w:tc>
          <w:tcPr>
            <w:tcW w:type="dxa" w:w="8160"/>
            <w:tcBorders>
              <w:top w:val="single" w:color="C9D5E8" w:sz="1"/>
              <w:left w:val="single" w:color="C9D5E8" w:sz="1"/>
              <w:bottom w:val="single" w:color="C9D5E8" w:sz="1"/>
              <w:right w:val="single" w:color="C9D5E8" w:sz="1"/>
            </w:tcBorders>
            <w:shd w:fill="D9E2F3" w:val="clear"/>
            <w:tcMar>
              <w:top w:type="dxa" w:w="80"/>
              <w:left w:type="dxa" w:w="120"/>
              <w:bottom w:type="dxa" w:w="80"/>
              <w:right w:type="dxa" w:w="120"/>
            </w:tcMar>
          </w:tcPr>
          <w:p>
            <w:r>
              <w:rPr>
                <w:rFonts w:ascii="Arial" w:cs="Arial" w:eastAsia="Arial" w:hAnsi="Arial"/>
                <w:b w:val="false"/>
                <w:bCs w:val="false"/>
                <w:color w:val="595959"/>
                <w:sz w:val="20"/>
                <w:szCs w:val="20"/>
              </w:rPr>
              <w:t xml:space="preserve">What insecure or security-relevant behaviors do LLM-based coding agents exhibit, and how do these behaviors distribute across the stages of both the agent operation lifecycle and the software development lifecycle?</w:t>
            </w:r>
          </w:p>
        </w:tc>
      </w:tr>
      <w:tr>
        <w:tc>
          <w:tcPr>
            <w:tcW w:type="dxa" w:w="1200"/>
            <w:tcBorders>
              <w:top w:val="single" w:color="C9D5E8" w:sz="1"/>
              <w:left w:val="single" w:color="C9D5E8" w:sz="1"/>
              <w:bottom w:val="single" w:color="C9D5E8" w:sz="1"/>
              <w:right w:val="single" w:color="C9D5E8" w:sz="1"/>
            </w:tcBorders>
            <w:shd w:fill="FFFFFF" w:val="clear"/>
            <w:tcMar>
              <w:top w:type="dxa" w:w="80"/>
              <w:left w:type="dxa" w:w="120"/>
              <w:bottom w:type="dxa" w:w="80"/>
              <w:right w:type="dxa" w:w="120"/>
            </w:tcMar>
          </w:tcPr>
          <w:p>
            <w:r>
              <w:rPr>
                <w:rFonts w:ascii="Arial" w:cs="Arial" w:eastAsia="Arial" w:hAnsi="Arial"/>
                <w:b/>
                <w:bCs/>
                <w:color w:val="595959"/>
                <w:sz w:val="20"/>
                <w:szCs w:val="20"/>
              </w:rPr>
              <w:t xml:space="preserve">RQ2</w:t>
            </w:r>
          </w:p>
        </w:tc>
        <w:tc>
          <w:tcPr>
            <w:tcW w:type="dxa" w:w="8160"/>
            <w:tcBorders>
              <w:top w:val="single" w:color="C9D5E8" w:sz="1"/>
              <w:left w:val="single" w:color="C9D5E8" w:sz="1"/>
              <w:bottom w:val="single" w:color="C9D5E8" w:sz="1"/>
              <w:right w:val="single" w:color="C9D5E8"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Can security principles from established standards (NIST SP 800-218, OWASP LLM Top 10, CWE Top 25, OWASP ASVS) be systematically translated into formal, lifecycle-aware behavior policies that are specific, unambiguous, and mechanically enforceable?</w:t>
            </w:r>
          </w:p>
        </w:tc>
      </w:tr>
      <w:tr>
        <w:tc>
          <w:tcPr>
            <w:tcW w:type="dxa" w:w="1200"/>
            <w:tcBorders>
              <w:top w:val="single" w:color="C9D5E8" w:sz="1"/>
              <w:left w:val="single" w:color="C9D5E8" w:sz="1"/>
              <w:bottom w:val="single" w:color="C9D5E8" w:sz="1"/>
              <w:right w:val="single" w:color="C9D5E8" w:sz="1"/>
            </w:tcBorders>
            <w:shd w:fill="D9E2F3" w:val="clear"/>
            <w:tcMar>
              <w:top w:type="dxa" w:w="80"/>
              <w:left w:type="dxa" w:w="120"/>
              <w:bottom w:type="dxa" w:w="80"/>
              <w:right w:type="dxa" w:w="120"/>
            </w:tcMar>
          </w:tcPr>
          <w:p>
            <w:r>
              <w:rPr>
                <w:rFonts w:ascii="Arial" w:cs="Arial" w:eastAsia="Arial" w:hAnsi="Arial"/>
                <w:b/>
                <w:bCs/>
                <w:color w:val="595959"/>
                <w:sz w:val="20"/>
                <w:szCs w:val="20"/>
              </w:rPr>
              <w:t xml:space="preserve">RQ3</w:t>
            </w:r>
          </w:p>
        </w:tc>
        <w:tc>
          <w:tcPr>
            <w:tcW w:type="dxa" w:w="8160"/>
            <w:tcBorders>
              <w:top w:val="single" w:color="C9D5E8" w:sz="1"/>
              <w:left w:val="single" w:color="C9D5E8" w:sz="1"/>
              <w:bottom w:val="single" w:color="C9D5E8" w:sz="1"/>
              <w:right w:val="single" w:color="C9D5E8" w:sz="1"/>
            </w:tcBorders>
            <w:shd w:fill="D9E2F3" w:val="clear"/>
            <w:tcMar>
              <w:top w:type="dxa" w:w="80"/>
              <w:left w:type="dxa" w:w="120"/>
              <w:bottom w:type="dxa" w:w="80"/>
              <w:right w:type="dxa" w:w="120"/>
            </w:tcMar>
          </w:tcPr>
          <w:p>
            <w:r>
              <w:rPr>
                <w:rFonts w:ascii="Arial" w:cs="Arial" w:eastAsia="Arial" w:hAnsi="Arial"/>
                <w:b w:val="false"/>
                <w:bCs w:val="false"/>
                <w:color w:val="595959"/>
                <w:sz w:val="20"/>
                <w:szCs w:val="20"/>
              </w:rPr>
              <w:t xml:space="preserve">To what extent does policy-guided governance — runtime enforcement of lifecycle-aware security policies — reduce the frequency and severity of insecure behaviors in coding agents, and what are the trade-offs against task completion effectiveness?</w:t>
            </w:r>
          </w:p>
        </w:tc>
      </w:tr>
    </w:tbl>
    <w:p>
      <w:pPr>
        <w:spacing w:after="40" w:before="100"/>
      </w:pPr>
    </w:p>
    <w:p>
      <w:pPr>
        <w:spacing w:after="120" w:before="80"/>
        <w:jc w:val="both"/>
      </w:pPr>
      <w:r>
        <w:rPr>
          <w:rFonts w:ascii="Arial" w:cs="Arial" w:eastAsia="Arial" w:hAnsi="Arial"/>
          <w:color w:val="595959"/>
          <w:sz w:val="22"/>
          <w:szCs w:val="22"/>
        </w:rPr>
        <w:t xml:space="preserve">These questions correspond to three concrete research objectives. Objective 1 (Taxonomy) produces a structured, empirically grounded catalog of insecure agent behaviors organized by lifecycle stage. Objective 2 (Policy Framework) translates security standards into a formal policy language with SDLC-stage scope units. Objective 3 (Evaluation) measures governance effectiveness via a novel benchmark and a suite of quantitative metrics.</w:t>
      </w:r>
    </w:p>
    <w:p>
      <w:r>
        <w:br w:type="page"/>
      </w:r>
    </w:p>
    <w:p>
      <w:pPr>
        <w:pStyle w:val="Heading1"/>
        <w:spacing w:after="160" w:before="320"/>
      </w:pPr>
      <w:r>
        <w:rPr>
          <w:rFonts w:ascii="Arial" w:cs="Arial" w:eastAsia="Arial" w:hAnsi="Arial"/>
          <w:b/>
          <w:bCs/>
          <w:color w:val="1F3864"/>
          <w:sz w:val="32"/>
          <w:szCs w:val="32"/>
        </w:rPr>
        <w:t xml:space="preserve">4.  Proposed Framework</w:t>
      </w:r>
    </w:p>
    <w:p>
      <w:pPr>
        <w:pBdr>
          <w:bottom w:val="single" w:color="2E75B6" w:sz="4" w:space="1"/>
        </w:pBdr>
        <w:spacing w:after="40" w:before="40"/>
      </w:pPr>
    </w:p>
    <w:p>
      <w:pPr>
        <w:spacing w:after="40" w:before="80"/>
      </w:pPr>
    </w:p>
    <w:p>
      <w:pPr>
        <w:spacing w:after="120" w:before="80"/>
        <w:jc w:val="both"/>
      </w:pPr>
      <w:r>
        <w:rPr>
          <w:rFonts w:ascii="Arial" w:cs="Arial" w:eastAsia="Arial" w:hAnsi="Arial"/>
          <w:color w:val="595959"/>
          <w:sz w:val="22"/>
          <w:szCs w:val="22"/>
        </w:rPr>
        <w:t xml:space="preserve">The framework integrates three conceptual layers: a dual lifecycle model that characterizes the security surface of coding agent operation; a policy specification layer that translates standards into enforceable rules; and a runtime enforcement layer that intercepts agent actions before execution.</w:t>
      </w:r>
    </w:p>
    <w:p>
      <w:pPr>
        <w:pStyle w:val="Heading2"/>
        <w:spacing w:after="120" w:before="240"/>
      </w:pPr>
      <w:r>
        <w:rPr>
          <w:rFonts w:ascii="Arial" w:cs="Arial" w:eastAsia="Arial" w:hAnsi="Arial"/>
          <w:b/>
          <w:bCs/>
          <w:color w:val="2E75B6"/>
          <w:sz w:val="26"/>
          <w:szCs w:val="26"/>
        </w:rPr>
        <w:t xml:space="preserve">4.1  Dual Lifecycle Security Model</w:t>
      </w:r>
    </w:p>
    <w:p>
      <w:pPr>
        <w:spacing w:after="120" w:before="80"/>
        <w:jc w:val="both"/>
      </w:pPr>
      <w:r>
        <w:rPr>
          <w:rFonts w:ascii="Arial" w:cs="Arial" w:eastAsia="Arial" w:hAnsi="Arial"/>
          <w:color w:val="595959"/>
          <w:sz w:val="22"/>
          <w:szCs w:val="22"/>
        </w:rPr>
        <w:t xml:space="preserve">Coding agents operate simultaneously in two interacting lifecycles:</w:t>
      </w:r>
    </w:p>
    <w:p>
      <w:pPr>
        <w:spacing w:after="20" w:before="40"/>
      </w:pPr>
    </w:p>
    <w:p>
      <w:pPr>
        <w:pStyle w:val="ListParagraph"/>
        <w:numPr>
          <w:ilvl w:val="0"/>
          <w:numId w:val="2"/>
        </w:numPr>
        <w:spacing w:after="60" w:before="60"/>
      </w:pPr>
      <w:r>
        <w:rPr>
          <w:rFonts w:ascii="Arial" w:cs="Arial" w:eastAsia="Arial" w:hAnsi="Arial"/>
          <w:color w:val="595959"/>
          <w:sz w:val="22"/>
          <w:szCs w:val="22"/>
        </w:rPr>
        <w:t xml:space="preserve">The Agent Operation Lifecycle (AOL) describes the cognitive-computational process of a single agent turn: Perception/Input, Memory Retrieval, Reasoning/Planning, Action/Tool Use, Observation, Memory Update, Evaluation/Reflection, and Termination. Security risks in this lifecycle are primarily about how the agent processes inputs and generates actions — e.g., prompt injection during Perception, credential leakage during Memory Update, privilege escalation during Action/Tool Use.</w:t>
      </w:r>
    </w:p>
    <w:p>
      <w:pPr>
        <w:spacing w:after="20" w:before="40"/>
      </w:pPr>
    </w:p>
    <w:p>
      <w:pPr>
        <w:pStyle w:val="ListParagraph"/>
        <w:numPr>
          <w:ilvl w:val="0"/>
          <w:numId w:val="2"/>
        </w:numPr>
        <w:spacing w:after="60" w:before="60"/>
      </w:pPr>
      <w:r>
        <w:rPr>
          <w:rFonts w:ascii="Arial" w:cs="Arial" w:eastAsia="Arial" w:hAnsi="Arial"/>
          <w:color w:val="595959"/>
          <w:sz w:val="22"/>
          <w:szCs w:val="22"/>
        </w:rPr>
        <w:t xml:space="preserve">The Software Development Lifecycle (SDLC) describes the engineering context in which the agent operates: Planning, Requirements Analysis, Design, Implementation, Testing, Deployment, and Maintenance. Security risks in this lifecycle are primarily about what the agent does to the software artifact — e.g., unsafe dependency selection during Implementation, insecure infrastructure provisioning during Deployment, insufficient logging during Maintenance.</w:t>
      </w:r>
    </w:p>
    <w:p>
      <w:pPr>
        <w:spacing w:after="40" w:before="60"/>
      </w:pPr>
    </w:p>
    <w:p>
      <w:pPr>
        <w:spacing w:after="120" w:before="80"/>
        <w:jc w:val="both"/>
      </w:pPr>
      <w:r>
        <w:rPr>
          <w:rFonts w:ascii="Arial" w:cs="Arial" w:eastAsia="Arial" w:hAnsi="Arial"/>
          <w:color w:val="595959"/>
          <w:sz w:val="22"/>
          <w:szCs w:val="22"/>
        </w:rPr>
        <w:t xml:space="preserve">The key insight of the dual lifecycle model is that the same agent action can occupy a position in both lifecycles simultaneously, and the security risk can differ by position. An Action/Tool Use event that installs a package during Implementation carries different risk than one that installs a package during Testing. Policies must be scoped to both dimensions to be maximally precise. This dual classification is an original contribution of this work; no prior taxonomy employs it.</w:t>
      </w:r>
    </w:p>
    <w:p>
      <w:pPr>
        <w:pStyle w:val="Heading2"/>
        <w:spacing w:after="120" w:before="240"/>
      </w:pPr>
      <w:r>
        <w:rPr>
          <w:rFonts w:ascii="Arial" w:cs="Arial" w:eastAsia="Arial" w:hAnsi="Arial"/>
          <w:b/>
          <w:bCs/>
          <w:color w:val="2E75B6"/>
          <w:sz w:val="26"/>
          <w:szCs w:val="26"/>
        </w:rPr>
        <w:t xml:space="preserve">4.2  Policy Specification Layer</w:t>
      </w:r>
    </w:p>
    <w:p>
      <w:pPr>
        <w:spacing w:after="120" w:before="80"/>
        <w:jc w:val="both"/>
      </w:pPr>
      <w:r>
        <w:rPr>
          <w:rFonts w:ascii="Arial" w:cs="Arial" w:eastAsia="Arial" w:hAnsi="Arial"/>
          <w:color w:val="595959"/>
          <w:sz w:val="22"/>
          <w:szCs w:val="22"/>
        </w:rPr>
        <w:t xml:space="preserve">Security standards describe human-level behaviors using natural language. The policy extraction pipeline (already implemented in this project) translates these standards into structured records with the following schema:</w:t>
      </w:r>
    </w:p>
    <w:p>
      <w:pPr>
        <w:spacing w:after="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3F" w:sz="6"/>
              <w:left w:val="thick" w:color="4A7C3F" w:sz="18"/>
              <w:bottom w:val="single" w:color="4A7C3F" w:sz="6"/>
              <w:right w:val="none" w:color="FFFFFF" w:sz="0"/>
            </w:tcBorders>
            <w:shd w:fill="F0F4EC" w:val="clear"/>
            <w:tcMar>
              <w:top w:type="dxa" w:w="120"/>
              <w:left w:type="dxa" w:w="160"/>
              <w:bottom w:type="dxa" w:w="120"/>
              <w:right w:type="dxa" w:w="120"/>
            </w:tcMar>
          </w:tcPr>
          <w:p>
            <w:pPr>
              <w:spacing w:after="0" w:before="0"/>
            </w:pPr>
            <w:r>
              <w:rPr>
                <w:rFonts w:ascii="Arial" w:cs="Arial" w:eastAsia="Arial" w:hAnsi="Arial"/>
                <w:i/>
                <w:iCs/>
                <w:color w:val="595959"/>
                <w:sz w:val="22"/>
                <w:szCs w:val="22"/>
              </w:rPr>
              <w:t xml:space="preserve">policy_id: DEP_PIN_001
category: dependency-management
description: Package installations must use exact version pinning and verified checksums.
applies_to_aol_stage: Action/Tool Use
applies_to_sdlc_stage: Implementation, Deployment
rule:
  require_exact_version: true
  require_checksum_verification: true
severity: high
standard_mapping: [CWE-1104, OWASP-A06:2021, NIST-SSDF-PO.3.2]
enforcement_action: block  # or: warn | log</w:t>
            </w:r>
          </w:p>
        </w:tc>
      </w:tr>
    </w:tbl>
    <w:p>
      <w:pPr>
        <w:spacing w:after="40" w:before="80"/>
      </w:pPr>
    </w:p>
    <w:p>
      <w:pPr>
        <w:spacing w:after="120" w:before="80"/>
        <w:jc w:val="both"/>
      </w:pPr>
      <w:r>
        <w:rPr>
          <w:rFonts w:ascii="Arial" w:cs="Arial" w:eastAsia="Arial" w:hAnsi="Arial"/>
          <w:color w:val="595959"/>
          <w:sz w:val="22"/>
          <w:szCs w:val="22"/>
        </w:rPr>
        <w:t xml:space="preserve">The current extracted dataset of 237 policies (from NIST SP 800-218, OWASP LLM Top 10, CWE Top 25, and OWASP ASVS) serves as the policy knowledge base. Each policy is already dual-classified by AOL stage and SDLC stage. The policy specification layer formalizes these records into a policy language with three components:</w:t>
      </w:r>
    </w:p>
    <w:p>
      <w:pPr>
        <w:spacing w:after="20" w:before="40"/>
      </w:pPr>
    </w:p>
    <w:p>
      <w:pPr>
        <w:pStyle w:val="ListParagraph"/>
        <w:numPr>
          <w:ilvl w:val="0"/>
          <w:numId w:val="3"/>
        </w:numPr>
        <w:spacing w:after="60" w:before="60"/>
      </w:pPr>
      <w:r>
        <w:rPr>
          <w:rFonts w:ascii="Arial" w:cs="Arial" w:eastAsia="Arial" w:hAnsi="Arial"/>
          <w:b/>
          <w:bCs/>
          <w:color w:val="595959"/>
          <w:sz w:val="22"/>
          <w:szCs w:val="22"/>
        </w:rPr>
        <w:t xml:space="preserve">Trigger Conditions: </w:t>
      </w:r>
      <w:r>
        <w:rPr>
          <w:rFonts w:ascii="Arial" w:cs="Arial" w:eastAsia="Arial" w:hAnsi="Arial"/>
          <w:color w:val="595959"/>
          <w:sz w:val="22"/>
          <w:szCs w:val="22"/>
        </w:rPr>
        <w:t xml:space="preserve">Trigger conditions: predicates over the agent's current AOL stage, SDLC context, and the action about to be executed (e.g., tool name, parameters, environmental state).</w:t>
      </w:r>
    </w:p>
    <w:p>
      <w:pPr>
        <w:pStyle w:val="ListParagraph"/>
        <w:numPr>
          <w:ilvl w:val="0"/>
          <w:numId w:val="3"/>
        </w:numPr>
        <w:spacing w:after="60" w:before="60"/>
      </w:pPr>
      <w:r>
        <w:rPr>
          <w:rFonts w:ascii="Arial" w:cs="Arial" w:eastAsia="Arial" w:hAnsi="Arial"/>
          <w:b/>
          <w:bCs/>
          <w:color w:val="595959"/>
          <w:sz w:val="22"/>
          <w:szCs w:val="22"/>
        </w:rPr>
        <w:t xml:space="preserve">Behavioral Constraint: </w:t>
      </w:r>
      <w:r>
        <w:rPr>
          <w:rFonts w:ascii="Arial" w:cs="Arial" w:eastAsia="Arial" w:hAnsi="Arial"/>
          <w:color w:val="595959"/>
          <w:sz w:val="22"/>
          <w:szCs w:val="22"/>
        </w:rPr>
        <w:t xml:space="preserve">Behavioral constraint: the required or prohibited action described in formal terms (value ranges, presence/absence of parameters, ordering constraints).</w:t>
      </w:r>
    </w:p>
    <w:p>
      <w:pPr>
        <w:pStyle w:val="ListParagraph"/>
        <w:numPr>
          <w:ilvl w:val="0"/>
          <w:numId w:val="3"/>
        </w:numPr>
        <w:spacing w:after="60" w:before="60"/>
      </w:pPr>
      <w:r>
        <w:rPr>
          <w:rFonts w:ascii="Arial" w:cs="Arial" w:eastAsia="Arial" w:hAnsi="Arial"/>
          <w:b/>
          <w:bCs/>
          <w:color w:val="595959"/>
          <w:sz w:val="22"/>
          <w:szCs w:val="22"/>
        </w:rPr>
        <w:t xml:space="preserve">Enforcement Response: </w:t>
      </w:r>
      <w:r>
        <w:rPr>
          <w:rFonts w:ascii="Arial" w:cs="Arial" w:eastAsia="Arial" w:hAnsi="Arial"/>
          <w:color w:val="595959"/>
          <w:sz w:val="22"/>
          <w:szCs w:val="22"/>
        </w:rPr>
        <w:t xml:space="preserve">Enforcement response: the action taken when the constraint is violated — block (prevent execution), warn (alert without blocking), log (record for audit), or require-confirmation (invoke human-in-the-loop).</w:t>
      </w:r>
    </w:p>
    <w:p>
      <w:pPr>
        <w:pStyle w:val="Heading2"/>
        <w:spacing w:after="120" w:before="240"/>
      </w:pPr>
      <w:r>
        <w:rPr>
          <w:rFonts w:ascii="Arial" w:cs="Arial" w:eastAsia="Arial" w:hAnsi="Arial"/>
          <w:b/>
          <w:bCs/>
          <w:color w:val="2E75B6"/>
          <w:sz w:val="26"/>
          <w:szCs w:val="26"/>
        </w:rPr>
        <w:t xml:space="preserve">4.3  Runtime Enforcement Engine</w:t>
      </w:r>
    </w:p>
    <w:p>
      <w:pPr>
        <w:spacing w:after="120" w:before="80"/>
        <w:jc w:val="both"/>
      </w:pPr>
      <w:r>
        <w:rPr>
          <w:rFonts w:ascii="Arial" w:cs="Arial" w:eastAsia="Arial" w:hAnsi="Arial"/>
          <w:color w:val="595959"/>
          <w:sz w:val="22"/>
          <w:szCs w:val="22"/>
        </w:rPr>
        <w:t xml:space="preserve">Following the reference monitor architecture demonstrated by PCAS, the enforcement engine intercepts agent tool calls before execution. The engine architecture has four components:</w:t>
      </w:r>
    </w:p>
    <w:p>
      <w:pPr>
        <w:spacing w:after="20" w:before="40"/>
      </w:pPr>
    </w:p>
    <w:p>
      <w:pPr>
        <w:pStyle w:val="ListParagraph"/>
        <w:numPr>
          <w:ilvl w:val="0"/>
          <w:numId w:val="2"/>
        </w:numPr>
        <w:spacing w:after="60" w:before="60"/>
      </w:pPr>
      <w:r>
        <w:rPr>
          <w:rFonts w:ascii="Arial" w:cs="Arial" w:eastAsia="Arial" w:hAnsi="Arial"/>
          <w:b/>
          <w:bCs/>
          <w:color w:val="595959"/>
          <w:sz w:val="22"/>
          <w:szCs w:val="22"/>
        </w:rPr>
        <w:t xml:space="preserve">Context Tracker: </w:t>
      </w:r>
      <w:r>
        <w:rPr>
          <w:rFonts w:ascii="Arial" w:cs="Arial" w:eastAsia="Arial" w:hAnsi="Arial"/>
          <w:color w:val="595959"/>
          <w:sz w:val="22"/>
          <w:szCs w:val="22"/>
        </w:rPr>
        <w:t xml:space="preserve">Context Tracker: maintains the current AOL stage and inferred SDLC phase, updated on each tool call and observation.</w:t>
      </w:r>
    </w:p>
    <w:p>
      <w:pPr>
        <w:pStyle w:val="ListParagraph"/>
        <w:numPr>
          <w:ilvl w:val="0"/>
          <w:numId w:val="2"/>
        </w:numPr>
        <w:spacing w:after="60" w:before="60"/>
      </w:pPr>
      <w:r>
        <w:rPr>
          <w:rFonts w:ascii="Arial" w:cs="Arial" w:eastAsia="Arial" w:hAnsi="Arial"/>
          <w:b/>
          <w:bCs/>
          <w:color w:val="595959"/>
          <w:sz w:val="22"/>
          <w:szCs w:val="22"/>
        </w:rPr>
        <w:t xml:space="preserve">Policy Matcher: </w:t>
      </w:r>
      <w:r>
        <w:rPr>
          <w:rFonts w:ascii="Arial" w:cs="Arial" w:eastAsia="Arial" w:hAnsi="Arial"/>
          <w:color w:val="595959"/>
          <w:sz w:val="22"/>
          <w:szCs w:val="22"/>
        </w:rPr>
        <w:t xml:space="preserve">Policy Matcher: given the pending tool call and current context, retrieves all applicable policies from the policy knowledge base.</w:t>
      </w:r>
    </w:p>
    <w:p>
      <w:pPr>
        <w:pStyle w:val="ListParagraph"/>
        <w:numPr>
          <w:ilvl w:val="0"/>
          <w:numId w:val="2"/>
        </w:numPr>
        <w:spacing w:after="60" w:before="60"/>
      </w:pPr>
      <w:r>
        <w:rPr>
          <w:rFonts w:ascii="Arial" w:cs="Arial" w:eastAsia="Arial" w:hAnsi="Arial"/>
          <w:b/>
          <w:bCs/>
          <w:color w:val="595959"/>
          <w:sz w:val="22"/>
          <w:szCs w:val="22"/>
        </w:rPr>
        <w:t xml:space="preserve">Constraint Evaluator: </w:t>
      </w:r>
      <w:r>
        <w:rPr>
          <w:rFonts w:ascii="Arial" w:cs="Arial" w:eastAsia="Arial" w:hAnsi="Arial"/>
          <w:color w:val="595959"/>
          <w:sz w:val="22"/>
          <w:szCs w:val="22"/>
        </w:rPr>
        <w:t xml:space="preserve">Constraint Evaluator: checks each matched policy's trigger and constraint against the pending action's parameters and environmental state.</w:t>
      </w:r>
    </w:p>
    <w:p>
      <w:pPr>
        <w:pStyle w:val="ListParagraph"/>
        <w:numPr>
          <w:ilvl w:val="0"/>
          <w:numId w:val="2"/>
        </w:numPr>
        <w:spacing w:after="60" w:before="60"/>
      </w:pPr>
      <w:r>
        <w:rPr>
          <w:rFonts w:ascii="Arial" w:cs="Arial" w:eastAsia="Arial" w:hAnsi="Arial"/>
          <w:b/>
          <w:bCs/>
          <w:color w:val="595959"/>
          <w:sz w:val="22"/>
          <w:szCs w:val="22"/>
        </w:rPr>
        <w:t xml:space="preserve">Response Dispatcher: </w:t>
      </w:r>
      <w:r>
        <w:rPr>
          <w:rFonts w:ascii="Arial" w:cs="Arial" w:eastAsia="Arial" w:hAnsi="Arial"/>
          <w:color w:val="595959"/>
          <w:sz w:val="22"/>
          <w:szCs w:val="22"/>
        </w:rPr>
        <w:t xml:space="preserve">Response Dispatcher: executes the enforcement action — blocking the call and returning an error, logging the violation, issuing a warning to the agent, or queuing a human-in-the-loop confirmation request.</w:t>
      </w:r>
    </w:p>
    <w:p>
      <w:pPr>
        <w:spacing w:after="40" w:before="60"/>
      </w:pPr>
    </w:p>
    <w:p>
      <w:pPr>
        <w:spacing w:after="120" w:before="80"/>
        <w:jc w:val="both"/>
      </w:pPr>
      <w:r>
        <w:rPr>
          <w:rFonts w:ascii="Arial" w:cs="Arial" w:eastAsia="Arial" w:hAnsi="Arial"/>
          <w:color w:val="595959"/>
          <w:sz w:val="22"/>
          <w:szCs w:val="22"/>
        </w:rPr>
        <w:t xml:space="preserve">The enforcement engine is designed to operate as a middleware layer interposable between the agent's reasoning component and its tool execution substrate. This design enables agent-agnostic deployment: the same enforcement engine can govern SWE-agent, OpenHands, Claude Code, and Aider without modifying their internals.</w:t>
      </w:r>
    </w:p>
    <w:p>
      <w:r>
        <w:br w:type="page"/>
      </w:r>
    </w:p>
    <w:p>
      <w:pPr>
        <w:pStyle w:val="Heading1"/>
        <w:spacing w:after="160" w:before="320"/>
      </w:pPr>
      <w:r>
        <w:rPr>
          <w:rFonts w:ascii="Arial" w:cs="Arial" w:eastAsia="Arial" w:hAnsi="Arial"/>
          <w:b/>
          <w:bCs/>
          <w:color w:val="1F3864"/>
          <w:sz w:val="32"/>
          <w:szCs w:val="32"/>
        </w:rPr>
        <w:t xml:space="preserve">5.  Methodology</w:t>
      </w:r>
    </w:p>
    <w:p>
      <w:pPr>
        <w:pBdr>
          <w:bottom w:val="single" w:color="2E75B6" w:sz="4" w:space="1"/>
        </w:pBdr>
        <w:spacing w:after="40" w:before="40"/>
      </w:pPr>
    </w:p>
    <w:p>
      <w:pPr>
        <w:spacing w:after="40" w:before="80"/>
      </w:pPr>
    </w:p>
    <w:p>
      <w:pPr>
        <w:pStyle w:val="Heading2"/>
        <w:spacing w:after="120" w:before="240"/>
      </w:pPr>
      <w:r>
        <w:rPr>
          <w:rFonts w:ascii="Arial" w:cs="Arial" w:eastAsia="Arial" w:hAnsi="Arial"/>
          <w:b/>
          <w:bCs/>
          <w:color w:val="2E75B6"/>
          <w:sz w:val="26"/>
          <w:szCs w:val="26"/>
        </w:rPr>
        <w:t xml:space="preserve">5.1  Phase 1 — Taxonomy Construction (RQ1)</w:t>
      </w:r>
    </w:p>
    <w:p>
      <w:pPr>
        <w:spacing w:after="120" w:before="80"/>
        <w:jc w:val="both"/>
      </w:pPr>
      <w:r>
        <w:rPr>
          <w:rFonts w:ascii="Arial" w:cs="Arial" w:eastAsia="Arial" w:hAnsi="Arial"/>
          <w:color w:val="595959"/>
          <w:sz w:val="22"/>
          <w:szCs w:val="22"/>
        </w:rPr>
        <w:t xml:space="preserve">We will construct the behavioral taxonomy through two complementary methods:</w:t>
      </w:r>
    </w:p>
    <w:p>
      <w:pPr>
        <w:spacing w:after="20" w:before="40"/>
      </w:pPr>
    </w:p>
    <w:p>
      <w:pPr>
        <w:pStyle w:val="ListParagraph"/>
        <w:numPr>
          <w:ilvl w:val="0"/>
          <w:numId w:val="3"/>
        </w:numPr>
        <w:spacing w:after="60" w:before="60"/>
      </w:pPr>
      <w:r>
        <w:rPr>
          <w:rFonts w:ascii="Arial" w:cs="Arial" w:eastAsia="Arial" w:hAnsi="Arial"/>
          <w:color w:val="595959"/>
          <w:sz w:val="22"/>
          <w:szCs w:val="22"/>
        </w:rPr>
        <w:t xml:space="preserve">Observational study of existing agents: we will run six target agents (SWE-agent, OpenHands, Aider, Cursor, Claude Code, and one additional open-source agent) against a set of real-world software engineering tasks selected to span all SDLC stages. Agent trajectories will be recorded at the tool-call level. Each action will be manually classified by two independent annotators into AOL stage and SDLC stage, then labeled as secure or insecure according to the extracted policy knowledge base. Inter-annotator agreement will be quantified with Cohen's kappa.</w:t>
      </w:r>
    </w:p>
    <w:p>
      <w:pPr>
        <w:pStyle w:val="ListParagraph"/>
        <w:numPr>
          <w:ilvl w:val="0"/>
          <w:numId w:val="3"/>
        </w:numPr>
        <w:spacing w:after="60" w:before="60"/>
      </w:pPr>
      <w:r>
        <w:rPr>
          <w:rFonts w:ascii="Arial" w:cs="Arial" w:eastAsia="Arial" w:hAnsi="Arial"/>
          <w:color w:val="595959"/>
          <w:sz w:val="22"/>
          <w:szCs w:val="22"/>
        </w:rPr>
        <w:t xml:space="preserve">Standard-driven deduction: the 237 extracted and lifecycle-classified policies are analyzed to enumerate the insecure behavior patterns each policy is designed to prevent. This produces a forward-looking taxonomy that accounts for behaviors not yet observed empirically but theoretically reachable by current agents.</w:t>
      </w:r>
    </w:p>
    <w:p>
      <w:pPr>
        <w:spacing w:after="40" w:before="60"/>
      </w:pPr>
    </w:p>
    <w:p>
      <w:pPr>
        <w:spacing w:after="120" w:before="80"/>
        <w:jc w:val="both"/>
      </w:pPr>
      <w:r>
        <w:rPr>
          <w:rFonts w:ascii="Arial" w:cs="Arial" w:eastAsia="Arial" w:hAnsi="Arial"/>
          <w:color w:val="595959"/>
          <w:sz w:val="22"/>
          <w:szCs w:val="22"/>
        </w:rPr>
        <w:t xml:space="preserve">The output is a structured taxonomy with at least five top-level categories (credential/secret handling, dependency management, privilege and access control, external API/tool interactions, CI/CD and deployment operations) subdivided by AOL stage and SDLC stage.</w:t>
      </w:r>
    </w:p>
    <w:p>
      <w:pPr>
        <w:pStyle w:val="Heading2"/>
        <w:spacing w:after="120" w:before="240"/>
      </w:pPr>
      <w:r>
        <w:rPr>
          <w:rFonts w:ascii="Arial" w:cs="Arial" w:eastAsia="Arial" w:hAnsi="Arial"/>
          <w:b/>
          <w:bCs/>
          <w:color w:val="2E75B6"/>
          <w:sz w:val="26"/>
          <w:szCs w:val="26"/>
        </w:rPr>
        <w:t xml:space="preserve">5.2  Phase 2 — Policy Framework and Formal Specification (RQ2)</w:t>
      </w:r>
    </w:p>
    <w:p>
      <w:pPr>
        <w:spacing w:after="120" w:before="80"/>
        <w:jc w:val="both"/>
      </w:pPr>
      <w:r>
        <w:rPr>
          <w:rFonts w:ascii="Arial" w:cs="Arial" w:eastAsia="Arial" w:hAnsi="Arial"/>
          <w:color w:val="595959"/>
          <w:sz w:val="22"/>
          <w:szCs w:val="22"/>
        </w:rPr>
        <w:t xml:space="preserve">Beginning from the existing extracted policy knowledge base, we will:</w:t>
      </w:r>
    </w:p>
    <w:p>
      <w:pPr>
        <w:spacing w:after="20" w:before="40"/>
      </w:pPr>
    </w:p>
    <w:p>
      <w:pPr>
        <w:pStyle w:val="ListParagraph"/>
        <w:numPr>
          <w:ilvl w:val="0"/>
          <w:numId w:val="3"/>
        </w:numPr>
        <w:spacing w:after="60" w:before="60"/>
      </w:pPr>
      <w:r>
        <w:rPr>
          <w:rFonts w:ascii="Arial" w:cs="Arial" w:eastAsia="Arial" w:hAnsi="Arial"/>
          <w:color w:val="595959"/>
          <w:sz w:val="22"/>
          <w:szCs w:val="22"/>
        </w:rPr>
        <w:t xml:space="preserve">Refine and validate policy records: each of the 237 policies will be reviewed against the taxonomy from Phase 1 to ensure completeness of lifecycle stage assignments and to identify gaps where observed insecure behaviors lack policy coverage.</w:t>
      </w:r>
    </w:p>
    <w:p>
      <w:pPr>
        <w:pStyle w:val="ListParagraph"/>
        <w:numPr>
          <w:ilvl w:val="0"/>
          <w:numId w:val="3"/>
        </w:numPr>
        <w:spacing w:after="60" w:before="60"/>
      </w:pPr>
      <w:r>
        <w:rPr>
          <w:rFonts w:ascii="Arial" w:cs="Arial" w:eastAsia="Arial" w:hAnsi="Arial"/>
          <w:color w:val="595959"/>
          <w:sz w:val="22"/>
          <w:szCs w:val="22"/>
        </w:rPr>
        <w:t xml:space="preserve">Formalize the policy language: we will define a formal grammar for policy expressions, including trigger predicates, behavioral constraints, and enforcement responses. The language will be designed for interpretability by LLM agents (i.e., policies can be rendered as natural language guidance) and mechanical evaluation (constraints are checkable against tool call parameters).</w:t>
      </w:r>
    </w:p>
    <w:p>
      <w:pPr>
        <w:pStyle w:val="ListParagraph"/>
        <w:numPr>
          <w:ilvl w:val="0"/>
          <w:numId w:val="3"/>
        </w:numPr>
        <w:spacing w:after="60" w:before="60"/>
      </w:pPr>
      <w:r>
        <w:rPr>
          <w:rFonts w:ascii="Arial" w:cs="Arial" w:eastAsia="Arial" w:hAnsi="Arial"/>
          <w:color w:val="595959"/>
          <w:sz w:val="22"/>
          <w:szCs w:val="22"/>
        </w:rPr>
        <w:t xml:space="preserve">Evaluate policy quality: each policy will be scored on two dimensions — low ambiguity (is the policy interpretable without context?) and high measurability (is the constraint checkable given observable agent state?). Policies below threshold will be refined or discarded.</w:t>
      </w:r>
    </w:p>
    <w:p>
      <w:pPr>
        <w:pStyle w:val="Heading2"/>
        <w:spacing w:after="120" w:before="240"/>
      </w:pPr>
      <w:r>
        <w:rPr>
          <w:rFonts w:ascii="Arial" w:cs="Arial" w:eastAsia="Arial" w:hAnsi="Arial"/>
          <w:b/>
          <w:bCs/>
          <w:color w:val="2E75B6"/>
          <w:sz w:val="26"/>
          <w:szCs w:val="26"/>
        </w:rPr>
        <w:t xml:space="preserve">5.3  Phase 3 — Benchmark Construction</w:t>
      </w:r>
    </w:p>
    <w:p>
      <w:pPr>
        <w:spacing w:after="120" w:before="80"/>
        <w:jc w:val="both"/>
      </w:pPr>
      <w:r>
        <w:rPr>
          <w:rFonts w:ascii="Arial" w:cs="Arial" w:eastAsia="Arial" w:hAnsi="Arial"/>
          <w:color w:val="595959"/>
          <w:sz w:val="22"/>
          <w:szCs w:val="22"/>
        </w:rPr>
        <w:t xml:space="preserve">We will construct a purpose-built evaluation benchmark — AgentSecBench — designed to evaluate agent security behaviors across the full SDLC surface. The benchmark will consist of:</w:t>
      </w:r>
    </w:p>
    <w:p>
      <w:pPr>
        <w:spacing w:after="20" w:before="40"/>
      </w:pPr>
    </w:p>
    <w:p>
      <w:pPr>
        <w:pStyle w:val="ListParagraph"/>
        <w:numPr>
          <w:ilvl w:val="0"/>
          <w:numId w:val="2"/>
        </w:numPr>
        <w:spacing w:after="60" w:before="60"/>
      </w:pPr>
      <w:r>
        <w:rPr>
          <w:rFonts w:ascii="Arial" w:cs="Arial" w:eastAsia="Arial" w:hAnsi="Arial"/>
          <w:color w:val="595959"/>
          <w:sz w:val="22"/>
          <w:szCs w:val="22"/>
        </w:rPr>
        <w:t xml:space="preserve">Multi-step software engineering tasks that span at least four SDLC stages each (e.g., a task requiring requirements parsing, code generation, dependency installation, and deployment script creation).</w:t>
      </w:r>
    </w:p>
    <w:p>
      <w:pPr>
        <w:pStyle w:val="ListParagraph"/>
        <w:numPr>
          <w:ilvl w:val="0"/>
          <w:numId w:val="2"/>
        </w:numPr>
        <w:spacing w:after="60" w:before="60"/>
      </w:pPr>
      <w:r>
        <w:rPr>
          <w:rFonts w:ascii="Arial" w:cs="Arial" w:eastAsia="Arial" w:hAnsi="Arial"/>
          <w:color w:val="595959"/>
          <w:sz w:val="22"/>
          <w:szCs w:val="22"/>
        </w:rPr>
        <w:t xml:space="preserve">Per-task security oracles: automated checks that evaluate whether the agent's trajectory contains insecure behaviors (not just whether the output code is secure).</w:t>
      </w:r>
    </w:p>
    <w:p>
      <w:pPr>
        <w:pStyle w:val="ListParagraph"/>
        <w:numPr>
          <w:ilvl w:val="0"/>
          <w:numId w:val="2"/>
        </w:numPr>
        <w:spacing w:after="60" w:before="60"/>
      </w:pPr>
      <w:r>
        <w:rPr>
          <w:rFonts w:ascii="Arial" w:cs="Arial" w:eastAsia="Arial" w:hAnsi="Arial"/>
          <w:color w:val="595959"/>
          <w:sz w:val="22"/>
          <w:szCs w:val="22"/>
        </w:rPr>
        <w:t xml:space="preserve">Coverage requirements: at least one task triggering each of the top-level taxonomy categories, and at least three tasks per SDLC stage.</w:t>
      </w:r>
    </w:p>
    <w:p>
      <w:pPr>
        <w:spacing w:after="40" w:before="60"/>
      </w:pPr>
    </w:p>
    <w:p>
      <w:pPr>
        <w:spacing w:after="120" w:before="80"/>
        <w:jc w:val="both"/>
      </w:pPr>
      <w:r>
        <w:rPr>
          <w:rFonts w:ascii="Arial" w:cs="Arial" w:eastAsia="Arial" w:hAnsi="Arial"/>
          <w:color w:val="595959"/>
          <w:sz w:val="22"/>
          <w:szCs w:val="22"/>
        </w:rPr>
        <w:t xml:space="preserve">The benchmark will be designed to resist the memorization artifact documented in SecRepoBench (arXiv:2504.21205) through semantic task variation and novel repository contexts.</w:t>
      </w:r>
    </w:p>
    <w:p>
      <w:pPr>
        <w:pStyle w:val="Heading2"/>
        <w:spacing w:after="120" w:before="240"/>
      </w:pPr>
      <w:r>
        <w:rPr>
          <w:rFonts w:ascii="Arial" w:cs="Arial" w:eastAsia="Arial" w:hAnsi="Arial"/>
          <w:b/>
          <w:bCs/>
          <w:color w:val="2E75B6"/>
          <w:sz w:val="26"/>
          <w:szCs w:val="26"/>
        </w:rPr>
        <w:t xml:space="preserve">5.4  Phase 4 — Enforcement and Evaluation (RQ3)</w:t>
      </w:r>
    </w:p>
    <w:p>
      <w:pPr>
        <w:spacing w:after="120" w:before="80"/>
        <w:jc w:val="both"/>
      </w:pPr>
      <w:r>
        <w:rPr>
          <w:rFonts w:ascii="Arial" w:cs="Arial" w:eastAsia="Arial" w:hAnsi="Arial"/>
          <w:color w:val="595959"/>
          <w:sz w:val="22"/>
          <w:szCs w:val="22"/>
        </w:rPr>
        <w:t xml:space="preserve">We will implement the runtime enforcement engine and evaluate it against the benchmark across all six target agents. The primary metrics are:</w:t>
      </w:r>
    </w:p>
    <w:p>
      <w:pPr>
        <w:spacing w:after="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9D5E8" w:sz="1"/>
              <w:left w:val="single" w:color="C9D5E8" w:sz="1"/>
              <w:bottom w:val="single" w:color="C9D5E8" w:sz="1"/>
              <w:right w:val="single" w:color="C9D5E8"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160"/>
            <w:tcBorders>
              <w:top w:val="single" w:color="C9D5E8" w:sz="1"/>
              <w:left w:val="single" w:color="C9D5E8" w:sz="1"/>
              <w:bottom w:val="single" w:color="C9D5E8" w:sz="1"/>
              <w:right w:val="single" w:color="C9D5E8"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c>
          <w:tcPr>
            <w:tcW w:type="dxa" w:w="3000"/>
            <w:tcBorders>
              <w:top w:val="single" w:color="C9D5E8" w:sz="1"/>
              <w:left w:val="single" w:color="C9D5E8" w:sz="1"/>
              <w:bottom w:val="single" w:color="C9D5E8" w:sz="1"/>
              <w:right w:val="single" w:color="C9D5E8"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Addresses</w:t>
            </w:r>
          </w:p>
        </w:tc>
      </w:tr>
      <w:tr>
        <w:tc>
          <w:tcPr>
            <w:tcW w:type="dxa" w:w="220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r>
              <w:rPr>
                <w:rFonts w:ascii="Arial" w:cs="Arial" w:eastAsia="Arial" w:hAnsi="Arial"/>
                <w:b w:val="false"/>
                <w:bCs w:val="false"/>
                <w:color w:val="595959"/>
                <w:sz w:val="20"/>
                <w:szCs w:val="20"/>
              </w:rPr>
              <w:t xml:space="preserve">Insecure Behavior Rate (IBR)</w:t>
            </w:r>
          </w:p>
        </w:tc>
        <w:tc>
          <w:tcPr>
            <w:tcW w:type="dxa" w:w="416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r>
              <w:rPr>
                <w:rFonts w:ascii="Arial" w:cs="Arial" w:eastAsia="Arial" w:hAnsi="Arial"/>
                <w:b w:val="false"/>
                <w:bCs w:val="false"/>
                <w:color w:val="595959"/>
                <w:sz w:val="20"/>
                <w:szCs w:val="20"/>
              </w:rPr>
              <w:t xml:space="preserve">Fraction of agent trajectories containing at least one policy-violating action</w:t>
            </w:r>
          </w:p>
        </w:tc>
        <w:tc>
          <w:tcPr>
            <w:tcW w:type="dxa" w:w="300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r>
              <w:rPr>
                <w:rFonts w:ascii="Arial" w:cs="Arial" w:eastAsia="Arial" w:hAnsi="Arial"/>
                <w:b w:val="false"/>
                <w:bCs w:val="false"/>
                <w:color w:val="595959"/>
                <w:sz w:val="20"/>
                <w:szCs w:val="20"/>
              </w:rPr>
              <w:t xml:space="preserve">Primary effectiveness measure (RQ3)</w:t>
            </w:r>
          </w:p>
        </w:tc>
      </w:tr>
      <w:tr>
        <w:tc>
          <w:tcPr>
            <w:tcW w:type="dxa" w:w="2200"/>
            <w:tcBorders>
              <w:top w:val="single" w:color="C9D5E8" w:sz="1"/>
              <w:left w:val="single" w:color="C9D5E8" w:sz="1"/>
              <w:bottom w:val="single" w:color="C9D5E8" w:sz="1"/>
              <w:right w:val="single" w:color="C9D5E8"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Policy Violation Reduction (PVR)</w:t>
            </w:r>
          </w:p>
        </w:tc>
        <w:tc>
          <w:tcPr>
            <w:tcW w:type="dxa" w:w="4160"/>
            <w:tcBorders>
              <w:top w:val="single" w:color="C9D5E8" w:sz="1"/>
              <w:left w:val="single" w:color="C9D5E8" w:sz="1"/>
              <w:bottom w:val="single" w:color="C9D5E8" w:sz="1"/>
              <w:right w:val="single" w:color="C9D5E8"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Reduction in per-trajectory violation count relative to ungoverned baseline</w:t>
            </w:r>
          </w:p>
        </w:tc>
        <w:tc>
          <w:tcPr>
            <w:tcW w:type="dxa" w:w="3000"/>
            <w:tcBorders>
              <w:top w:val="single" w:color="C9D5E8" w:sz="1"/>
              <w:left w:val="single" w:color="C9D5E8" w:sz="1"/>
              <w:bottom w:val="single" w:color="C9D5E8" w:sz="1"/>
              <w:right w:val="single" w:color="C9D5E8"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Governance strength (RQ3)</w:t>
            </w:r>
          </w:p>
        </w:tc>
      </w:tr>
      <w:tr>
        <w:tc>
          <w:tcPr>
            <w:tcW w:type="dxa" w:w="220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r>
              <w:rPr>
                <w:rFonts w:ascii="Arial" w:cs="Arial" w:eastAsia="Arial" w:hAnsi="Arial"/>
                <w:b w:val="false"/>
                <w:bCs w:val="false"/>
                <w:color w:val="595959"/>
                <w:sz w:val="20"/>
                <w:szCs w:val="20"/>
              </w:rPr>
              <w:t xml:space="preserve">Task Completion Rate (TCR)</w:t>
            </w:r>
          </w:p>
        </w:tc>
        <w:tc>
          <w:tcPr>
            <w:tcW w:type="dxa" w:w="416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r>
              <w:rPr>
                <w:rFonts w:ascii="Arial" w:cs="Arial" w:eastAsia="Arial" w:hAnsi="Arial"/>
                <w:b w:val="false"/>
                <w:bCs w:val="false"/>
                <w:color w:val="595959"/>
                <w:sz w:val="20"/>
                <w:szCs w:val="20"/>
              </w:rPr>
              <w:t xml:space="preserve">Fraction of tasks completed functionally correctly under governance</w:t>
            </w:r>
          </w:p>
        </w:tc>
        <w:tc>
          <w:tcPr>
            <w:tcW w:type="dxa" w:w="300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r>
              <w:rPr>
                <w:rFonts w:ascii="Arial" w:cs="Arial" w:eastAsia="Arial" w:hAnsi="Arial"/>
                <w:b w:val="false"/>
                <w:bCs w:val="false"/>
                <w:color w:val="595959"/>
                <w:sz w:val="20"/>
                <w:szCs w:val="20"/>
              </w:rPr>
              <w:t xml:space="preserve">Utility cost of governance (RQ3)</w:t>
            </w:r>
          </w:p>
        </w:tc>
      </w:tr>
      <w:tr>
        <w:tc>
          <w:tcPr>
            <w:tcW w:type="dxa" w:w="2200"/>
            <w:tcBorders>
              <w:top w:val="single" w:color="C9D5E8" w:sz="1"/>
              <w:left w:val="single" w:color="C9D5E8" w:sz="1"/>
              <w:bottom w:val="single" w:color="C9D5E8" w:sz="1"/>
              <w:right w:val="single" w:color="C9D5E8"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Policy Coverage (PC)</w:t>
            </w:r>
          </w:p>
        </w:tc>
        <w:tc>
          <w:tcPr>
            <w:tcW w:type="dxa" w:w="4160"/>
            <w:tcBorders>
              <w:top w:val="single" w:color="C9D5E8" w:sz="1"/>
              <w:left w:val="single" w:color="C9D5E8" w:sz="1"/>
              <w:bottom w:val="single" w:color="C9D5E8" w:sz="1"/>
              <w:right w:val="single" w:color="C9D5E8"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Fraction of observed insecure behavior types addressed by at least one policy</w:t>
            </w:r>
          </w:p>
        </w:tc>
        <w:tc>
          <w:tcPr>
            <w:tcW w:type="dxa" w:w="3000"/>
            <w:tcBorders>
              <w:top w:val="single" w:color="C9D5E8" w:sz="1"/>
              <w:left w:val="single" w:color="C9D5E8" w:sz="1"/>
              <w:bottom w:val="single" w:color="C9D5E8" w:sz="1"/>
              <w:right w:val="single" w:color="C9D5E8"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Policy completeness (RQ2)</w:t>
            </w:r>
          </w:p>
        </w:tc>
      </w:tr>
      <w:tr>
        <w:tc>
          <w:tcPr>
            <w:tcW w:type="dxa" w:w="220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r>
              <w:rPr>
                <w:rFonts w:ascii="Arial" w:cs="Arial" w:eastAsia="Arial" w:hAnsi="Arial"/>
                <w:b w:val="false"/>
                <w:bCs w:val="false"/>
                <w:color w:val="595959"/>
                <w:sz w:val="20"/>
                <w:szCs w:val="20"/>
              </w:rPr>
              <w:t xml:space="preserve">Stage Attribution Accuracy</w:t>
            </w:r>
          </w:p>
        </w:tc>
        <w:tc>
          <w:tcPr>
            <w:tcW w:type="dxa" w:w="416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r>
              <w:rPr>
                <w:rFonts w:ascii="Arial" w:cs="Arial" w:eastAsia="Arial" w:hAnsi="Arial"/>
                <w:b w:val="false"/>
                <w:bCs w:val="false"/>
                <w:color w:val="595959"/>
                <w:sz w:val="20"/>
                <w:szCs w:val="20"/>
              </w:rPr>
              <w:t xml:space="preserve">Accuracy of the context tracker's SDLC phase inference vs. ground truth annotations</w:t>
            </w:r>
          </w:p>
        </w:tc>
        <w:tc>
          <w:tcPr>
            <w:tcW w:type="dxa" w:w="300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r>
              <w:rPr>
                <w:rFonts w:ascii="Arial" w:cs="Arial" w:eastAsia="Arial" w:hAnsi="Arial"/>
                <w:b w:val="false"/>
                <w:bCs w:val="false"/>
                <w:color w:val="595959"/>
                <w:sz w:val="20"/>
                <w:szCs w:val="20"/>
              </w:rPr>
              <w:t xml:space="preserve">Lifecycle model validity (RQ1)</w:t>
            </w:r>
          </w:p>
        </w:tc>
      </w:tr>
    </w:tbl>
    <w:p>
      <w:pPr>
        <w:spacing w:after="40" w:before="100"/>
      </w:pPr>
    </w:p>
    <w:p>
      <w:pPr>
        <w:spacing w:after="120" w:before="0"/>
        <w:jc w:val="center"/>
      </w:pPr>
      <w:r>
        <w:rPr>
          <w:rFonts w:ascii="Arial" w:cs="Arial" w:eastAsia="Arial" w:hAnsi="Arial"/>
          <w:i/>
          <w:iCs/>
          <w:color w:val="595959"/>
          <w:sz w:val="19"/>
          <w:szCs w:val="19"/>
        </w:rPr>
        <w:t xml:space="preserve">Table 3. Primary evaluation metrics.</w:t>
      </w:r>
    </w:p>
    <w:p>
      <w:pPr>
        <w:spacing w:after="40" w:before="80"/>
      </w:pPr>
    </w:p>
    <w:p>
      <w:pPr>
        <w:spacing w:after="120" w:before="80"/>
        <w:jc w:val="both"/>
      </w:pPr>
      <w:r>
        <w:rPr>
          <w:rFonts w:ascii="Arial" w:cs="Arial" w:eastAsia="Arial" w:hAnsi="Arial"/>
          <w:color w:val="595959"/>
          <w:sz w:val="22"/>
          <w:szCs w:val="22"/>
        </w:rPr>
        <w:t xml:space="preserve">We will also conduct ablation studies to measure the contribution of SDLC-stage specificity: comparing a stage-aware policy enforcer against a stage-blind baseline will quantify how much of the governance benefit depends on the dual lifecycle model specifically.</w:t>
      </w:r>
    </w:p>
    <w:p>
      <w:r>
        <w:br w:type="page"/>
      </w:r>
    </w:p>
    <w:p>
      <w:pPr>
        <w:pStyle w:val="Heading1"/>
        <w:spacing w:after="160" w:before="320"/>
      </w:pPr>
      <w:r>
        <w:rPr>
          <w:rFonts w:ascii="Arial" w:cs="Arial" w:eastAsia="Arial" w:hAnsi="Arial"/>
          <w:b/>
          <w:bCs/>
          <w:color w:val="1F3864"/>
          <w:sz w:val="32"/>
          <w:szCs w:val="32"/>
        </w:rPr>
        <w:t xml:space="preserve">6.  Expected Contributions</w:t>
      </w:r>
    </w:p>
    <w:p>
      <w:pPr>
        <w:pBdr>
          <w:bottom w:val="single" w:color="2E75B6" w:sz="4" w:space="1"/>
        </w:pBdr>
        <w:spacing w:after="40" w:before="40"/>
      </w:pPr>
    </w:p>
    <w:p>
      <w:pPr>
        <w:spacing w:after="40" w:before="80"/>
      </w:pPr>
    </w:p>
    <w:p>
      <w:pPr>
        <w:spacing w:after="120" w:before="80"/>
        <w:jc w:val="both"/>
      </w:pPr>
      <w:r>
        <w:rPr>
          <w:rFonts w:ascii="Arial" w:cs="Arial" w:eastAsia="Arial" w:hAnsi="Arial"/>
          <w:color w:val="595959"/>
          <w:sz w:val="22"/>
          <w:szCs w:val="22"/>
        </w:rPr>
        <w:t xml:space="preserve">This research will produce the following original contributions to the fields of software security, AI safety, and automated software engineering:</w:t>
      </w:r>
    </w:p>
    <w:p>
      <w:pPr>
        <w:spacing w:after="40" w:before="60"/>
      </w:pPr>
    </w:p>
    <w:p>
      <w:pPr>
        <w:pStyle w:val="ListParagraph"/>
        <w:numPr>
          <w:ilvl w:val="0"/>
          <w:numId w:val="3"/>
        </w:numPr>
        <w:spacing w:after="60" w:before="60"/>
      </w:pPr>
      <w:r>
        <w:rPr>
          <w:rFonts w:ascii="Arial" w:cs="Arial" w:eastAsia="Arial" w:hAnsi="Arial"/>
          <w:b/>
          <w:bCs/>
          <w:color w:val="595959"/>
          <w:sz w:val="22"/>
          <w:szCs w:val="22"/>
        </w:rPr>
        <w:t xml:space="preserve">Dual-Lifecycle Taxonomy. </w:t>
      </w:r>
      <w:r>
        <w:rPr>
          <w:rFonts w:ascii="Arial" w:cs="Arial" w:eastAsia="Arial" w:hAnsi="Arial"/>
          <w:color w:val="595959"/>
          <w:sz w:val="22"/>
          <w:szCs w:val="22"/>
        </w:rPr>
        <w:t xml:space="preserve">A dual-lifecycle taxonomy of insecure coding agent behaviors: the first structured classification of agent security failures organized jointly by agent operation stage (AOL) and software development lifecycle stage (SDLC). This taxonomy will provide a shared vocabulary for future work in both empirical study and governance design.</w:t>
      </w:r>
    </w:p>
    <w:p>
      <w:pPr>
        <w:spacing w:after="20" w:before="40"/>
      </w:pPr>
    </w:p>
    <w:p>
      <w:pPr>
        <w:pStyle w:val="ListParagraph"/>
        <w:numPr>
          <w:ilvl w:val="0"/>
          <w:numId w:val="3"/>
        </w:numPr>
        <w:spacing w:after="60" w:before="60"/>
      </w:pPr>
      <w:r>
        <w:rPr>
          <w:rFonts w:ascii="Arial" w:cs="Arial" w:eastAsia="Arial" w:hAnsi="Arial"/>
          <w:b/>
          <w:bCs/>
          <w:color w:val="595959"/>
          <w:sz w:val="22"/>
          <w:szCs w:val="22"/>
        </w:rPr>
        <w:t xml:space="preserve">Policy Knowledge Base. </w:t>
      </w:r>
      <w:r>
        <w:rPr>
          <w:rFonts w:ascii="Arial" w:cs="Arial" w:eastAsia="Arial" w:hAnsi="Arial"/>
          <w:color w:val="595959"/>
          <w:sz w:val="22"/>
          <w:szCs w:val="22"/>
        </w:rPr>
        <w:t xml:space="preserve">A standards-grounded policy knowledge base: 237+ machine-readable security policies extracted and dual-lifecycle-classified from NIST SP 800-218, OWASP LLM Top 10, CWE Top 25, and OWASP ASVS, constituting the first policy dataset specifically designed for coding agent governance.</w:t>
      </w:r>
    </w:p>
    <w:p>
      <w:pPr>
        <w:spacing w:after="20" w:before="40"/>
      </w:pPr>
    </w:p>
    <w:p>
      <w:pPr>
        <w:pStyle w:val="ListParagraph"/>
        <w:numPr>
          <w:ilvl w:val="0"/>
          <w:numId w:val="3"/>
        </w:numPr>
        <w:spacing w:after="60" w:before="60"/>
      </w:pPr>
      <w:r>
        <w:rPr>
          <w:rFonts w:ascii="Arial" w:cs="Arial" w:eastAsia="Arial" w:hAnsi="Arial"/>
          <w:b/>
          <w:bCs/>
          <w:color w:val="595959"/>
          <w:sz w:val="22"/>
          <w:szCs w:val="22"/>
        </w:rPr>
        <w:t xml:space="preserve">Policy Language. </w:t>
      </w:r>
      <w:r>
        <w:rPr>
          <w:rFonts w:ascii="Arial" w:cs="Arial" w:eastAsia="Arial" w:hAnsi="Arial"/>
          <w:color w:val="595959"/>
          <w:sz w:val="22"/>
          <w:szCs w:val="22"/>
        </w:rPr>
        <w:t xml:space="preserve">A formal policy language for agent behavior governance: a domain-specific language capable of expressing SDLC-stage-scoped behavioral constraints over agent tool calls, with formal semantics grounded in security standard requirements.</w:t>
      </w:r>
    </w:p>
    <w:p>
      <w:pPr>
        <w:spacing w:after="20" w:before="40"/>
      </w:pPr>
    </w:p>
    <w:p>
      <w:pPr>
        <w:pStyle w:val="ListParagraph"/>
        <w:numPr>
          <w:ilvl w:val="0"/>
          <w:numId w:val="3"/>
        </w:numPr>
        <w:spacing w:after="60" w:before="60"/>
      </w:pPr>
      <w:r>
        <w:rPr>
          <w:rFonts w:ascii="Arial" w:cs="Arial" w:eastAsia="Arial" w:hAnsi="Arial"/>
          <w:b/>
          <w:bCs/>
          <w:color w:val="595959"/>
          <w:sz w:val="22"/>
          <w:szCs w:val="22"/>
        </w:rPr>
        <w:t xml:space="preserve">Runtime Enforcement Engine. </w:t>
      </w:r>
      <w:r>
        <w:rPr>
          <w:rFonts w:ascii="Arial" w:cs="Arial" w:eastAsia="Arial" w:hAnsi="Arial"/>
          <w:color w:val="595959"/>
          <w:sz w:val="22"/>
          <w:szCs w:val="22"/>
        </w:rPr>
        <w:t xml:space="preserve">A runtime enforcement engine: an agent-agnostic middleware that implements the reference monitor pattern for coding agent tool calls, deployable across at least six representative agents (SWE-agent, OpenHands, Aider, Cursor, Claude Code, and one additional agent).</w:t>
      </w:r>
    </w:p>
    <w:p>
      <w:pPr>
        <w:spacing w:after="20" w:before="40"/>
      </w:pPr>
    </w:p>
    <w:p>
      <w:pPr>
        <w:pStyle w:val="ListParagraph"/>
        <w:numPr>
          <w:ilvl w:val="0"/>
          <w:numId w:val="3"/>
        </w:numPr>
        <w:spacing w:after="60" w:before="60"/>
      </w:pPr>
      <w:r>
        <w:rPr>
          <w:rFonts w:ascii="Arial" w:cs="Arial" w:eastAsia="Arial" w:hAnsi="Arial"/>
          <w:b/>
          <w:bCs/>
          <w:color w:val="595959"/>
          <w:sz w:val="22"/>
          <w:szCs w:val="22"/>
        </w:rPr>
        <w:t xml:space="preserve">AgentSecBench Benchmark. </w:t>
      </w:r>
      <w:r>
        <w:rPr>
          <w:rFonts w:ascii="Arial" w:cs="Arial" w:eastAsia="Arial" w:hAnsi="Arial"/>
          <w:color w:val="595959"/>
          <w:sz w:val="22"/>
          <w:szCs w:val="22"/>
        </w:rPr>
        <w:t xml:space="preserve">AgentSecBench: a purpose-built benchmark for evaluating agent security behaviors across the full SDLC surface, covering at least five top-level behavior categories and seven SDLC stages, with automated per-trajectory security oracles.</w:t>
      </w:r>
    </w:p>
    <w:p>
      <w:pPr>
        <w:spacing w:after="20" w:before="40"/>
      </w:pPr>
    </w:p>
    <w:p>
      <w:pPr>
        <w:pStyle w:val="ListParagraph"/>
        <w:numPr>
          <w:ilvl w:val="0"/>
          <w:numId w:val="3"/>
        </w:numPr>
        <w:spacing w:after="60" w:before="60"/>
      </w:pPr>
      <w:r>
        <w:rPr>
          <w:rFonts w:ascii="Arial" w:cs="Arial" w:eastAsia="Arial" w:hAnsi="Arial"/>
          <w:b/>
          <w:bCs/>
          <w:color w:val="595959"/>
          <w:sz w:val="22"/>
          <w:szCs w:val="22"/>
        </w:rPr>
        <w:t xml:space="preserve">Empirical Results. </w:t>
      </w:r>
      <w:r>
        <w:rPr>
          <w:rFonts w:ascii="Arial" w:cs="Arial" w:eastAsia="Arial" w:hAnsi="Arial"/>
          <w:color w:val="595959"/>
          <w:sz w:val="22"/>
          <w:szCs w:val="22"/>
        </w:rPr>
        <w:t xml:space="preserve">Empirical evaluation results: quantitative evidence on the frequency and distribution of insecure agent behaviors across SDLC stages, the effectiveness of policy-guided governance in reducing these behaviors, and the utility cost incurred.</w:t>
      </w:r>
    </w:p>
    <w:p>
      <w:r>
        <w:br w:type="page"/>
      </w:r>
    </w:p>
    <w:p>
      <w:pPr>
        <w:pStyle w:val="Heading1"/>
        <w:spacing w:after="160" w:before="320"/>
      </w:pPr>
      <w:r>
        <w:rPr>
          <w:rFonts w:ascii="Arial" w:cs="Arial" w:eastAsia="Arial" w:hAnsi="Arial"/>
          <w:b/>
          <w:bCs/>
          <w:color w:val="1F3864"/>
          <w:sz w:val="32"/>
          <w:szCs w:val="32"/>
        </w:rPr>
        <w:t xml:space="preserve">7.  Limitations and Threats to Validity</w:t>
      </w:r>
    </w:p>
    <w:p>
      <w:pPr>
        <w:pBdr>
          <w:bottom w:val="single" w:color="2E75B6" w:sz="4" w:space="1"/>
        </w:pBdr>
        <w:spacing w:after="40" w:before="40"/>
      </w:pPr>
    </w:p>
    <w:p>
      <w:pPr>
        <w:spacing w:after="40" w:before="80"/>
      </w:pPr>
    </w:p>
    <w:p>
      <w:pPr>
        <w:pStyle w:val="Heading2"/>
        <w:spacing w:after="120" w:before="240"/>
      </w:pPr>
      <w:r>
        <w:rPr>
          <w:rFonts w:ascii="Arial" w:cs="Arial" w:eastAsia="Arial" w:hAnsi="Arial"/>
          <w:b/>
          <w:bCs/>
          <w:color w:val="2E75B6"/>
          <w:sz w:val="26"/>
          <w:szCs w:val="26"/>
        </w:rPr>
        <w:t xml:space="preserve">7.1  Policy Coverage Completeness</w:t>
      </w:r>
    </w:p>
    <w:p>
      <w:pPr>
        <w:spacing w:after="120" w:before="80"/>
        <w:jc w:val="both"/>
      </w:pPr>
      <w:r>
        <w:rPr>
          <w:rFonts w:ascii="Arial" w:cs="Arial" w:eastAsia="Arial" w:hAnsi="Arial"/>
          <w:color w:val="595959"/>
          <w:sz w:val="22"/>
          <w:szCs w:val="22"/>
        </w:rPr>
        <w:t xml:space="preserve">The policy knowledge base is derived from four specific standards. Security risks outside these standards (e.g., emerging LLM-specific attack vectors not yet codified) will not be covered. Mitigation: we will supplement standard-derived policies with empirically derived policies from the observational study, and design the policy language to be extensible.</w:t>
      </w:r>
    </w:p>
    <w:p>
      <w:pPr>
        <w:pStyle w:val="Heading2"/>
        <w:spacing w:after="120" w:before="240"/>
      </w:pPr>
      <w:r>
        <w:rPr>
          <w:rFonts w:ascii="Arial" w:cs="Arial" w:eastAsia="Arial" w:hAnsi="Arial"/>
          <w:b/>
          <w:bCs/>
          <w:color w:val="2E75B6"/>
          <w:sz w:val="26"/>
          <w:szCs w:val="26"/>
        </w:rPr>
        <w:t xml:space="preserve">7.2  SDLC Stage Inference Accuracy</w:t>
      </w:r>
    </w:p>
    <w:p>
      <w:pPr>
        <w:spacing w:after="120" w:before="80"/>
        <w:jc w:val="both"/>
      </w:pPr>
      <w:r>
        <w:rPr>
          <w:rFonts w:ascii="Arial" w:cs="Arial" w:eastAsia="Arial" w:hAnsi="Arial"/>
          <w:color w:val="595959"/>
          <w:sz w:val="22"/>
          <w:szCs w:val="22"/>
        </w:rPr>
        <w:t xml:space="preserve">The context tracker must infer the current SDLC phase from observable agent state, which is an imperfect signal. Stage misclassification will reduce enforcement precision. Mitigation: we will quantify and report Stage Attribution Accuracy as a primary metric, enabling future work to improve the inference mechanism independently.</w:t>
      </w:r>
    </w:p>
    <w:p>
      <w:pPr>
        <w:pStyle w:val="Heading2"/>
        <w:spacing w:after="120" w:before="240"/>
      </w:pPr>
      <w:r>
        <w:rPr>
          <w:rFonts w:ascii="Arial" w:cs="Arial" w:eastAsia="Arial" w:hAnsi="Arial"/>
          <w:b/>
          <w:bCs/>
          <w:color w:val="2E75B6"/>
          <w:sz w:val="26"/>
          <w:szCs w:val="26"/>
        </w:rPr>
        <w:t xml:space="preserve">7.3  Agent Heterogeneity</w:t>
      </w:r>
    </w:p>
    <w:p>
      <w:pPr>
        <w:spacing w:after="120" w:before="80"/>
        <w:jc w:val="both"/>
      </w:pPr>
      <w:r>
        <w:rPr>
          <w:rFonts w:ascii="Arial" w:cs="Arial" w:eastAsia="Arial" w:hAnsi="Arial"/>
          <w:color w:val="595959"/>
          <w:sz w:val="22"/>
          <w:szCs w:val="22"/>
        </w:rPr>
        <w:t xml:space="preserve">The six target agents vary significantly in architecture, tool interfaces, and planning behavior. Policies expressed in terms of one agent's tool call structure may not generalize to another. Mitigation: the policy language will be designed at a semantic level (describing the intent and effect of actions) rather than a syntactic level (matching specific tool names or parameter schemas), with an adaptation layer for each agent.</w:t>
      </w:r>
    </w:p>
    <w:p>
      <w:pPr>
        <w:pStyle w:val="Heading2"/>
        <w:spacing w:after="120" w:before="240"/>
      </w:pPr>
      <w:r>
        <w:rPr>
          <w:rFonts w:ascii="Arial" w:cs="Arial" w:eastAsia="Arial" w:hAnsi="Arial"/>
          <w:b/>
          <w:bCs/>
          <w:color w:val="2E75B6"/>
          <w:sz w:val="26"/>
          <w:szCs w:val="26"/>
        </w:rPr>
        <w:t xml:space="preserve">7.4  Utility-Security Trade-off Uncertainty</w:t>
      </w:r>
    </w:p>
    <w:p>
      <w:pPr>
        <w:spacing w:after="120" w:before="80"/>
        <w:jc w:val="both"/>
      </w:pPr>
      <w:r>
        <w:rPr>
          <w:rFonts w:ascii="Arial" w:cs="Arial" w:eastAsia="Arial" w:hAnsi="Arial"/>
          <w:color w:val="595959"/>
          <w:sz w:val="22"/>
          <w:szCs w:val="22"/>
        </w:rPr>
        <w:t xml:space="preserve">Runtime enforcement necessarily blocks some agent actions, which may reduce task completion rates. The severity of this trade-off is unknown a priori. Mitigation: we will evaluate enforcement at three levels (block, warn, log) and report the Pareto frontier of security improvement versus utility cost for each level and agent.</w:t>
      </w:r>
    </w:p>
    <w:p>
      <w:pPr>
        <w:pStyle w:val="Heading2"/>
        <w:spacing w:after="120" w:before="240"/>
      </w:pPr>
      <w:r>
        <w:rPr>
          <w:rFonts w:ascii="Arial" w:cs="Arial" w:eastAsia="Arial" w:hAnsi="Arial"/>
          <w:b/>
          <w:bCs/>
          <w:color w:val="2E75B6"/>
          <w:sz w:val="26"/>
          <w:szCs w:val="26"/>
        </w:rPr>
        <w:t xml:space="preserve">7.5  Relationship to the NeurIPS 2025 Security Debt Paper</w:t>
      </w:r>
    </w:p>
    <w:p>
      <w:pPr>
        <w:spacing w:after="120" w:before="80"/>
        <w:jc w:val="both"/>
      </w:pPr>
      <w:r>
        <w:rPr>
          <w:rFonts w:ascii="Arial" w:cs="Arial" w:eastAsia="Arial" w:hAnsi="Arial"/>
          <w:color w:val="595959"/>
          <w:sz w:val="22"/>
          <w:szCs w:val="22"/>
        </w:rPr>
        <w:t xml:space="preserve">The 'When Developer Aid Becomes Security Debt' paper (arXiv:2507.09329) is the most closely related prior work and presents a potential novelty challenge. We note the following distinct contributions: (a) our taxonomy organizes behaviors by SDLC stage, which the Security Debt paper does not; (b) our policy framework provides standards-grounded formal specifications, which the Security Debt paper does not; (c) our enforcement engine prevents violations before execution, whereas the Security Debt paper's mitigations are prompt-level interventions; and (d) our benchmark covers the full SDLC surface across multi-step tasks, whereas their evaluation focuses on software setup tasks. These are complementary, not competing, contributions.</w:t>
      </w:r>
    </w:p>
    <w:p>
      <w:r>
        <w:br w:type="page"/>
      </w:r>
    </w:p>
    <w:p>
      <w:pPr>
        <w:pStyle w:val="Heading1"/>
        <w:spacing w:after="160" w:before="320"/>
      </w:pPr>
      <w:r>
        <w:rPr>
          <w:rFonts w:ascii="Arial" w:cs="Arial" w:eastAsia="Arial" w:hAnsi="Arial"/>
          <w:b/>
          <w:bCs/>
          <w:color w:val="1F3864"/>
          <w:sz w:val="32"/>
          <w:szCs w:val="32"/>
        </w:rPr>
        <w:t xml:space="preserve">8.  Research Roadmap</w:t>
      </w:r>
    </w:p>
    <w:p>
      <w:pPr>
        <w:pBdr>
          <w:bottom w:val="single" w:color="2E75B6" w:sz="4" w:space="1"/>
        </w:pBdr>
        <w:spacing w:after="40" w:before="40"/>
      </w:pP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4200"/>
        <w:gridCol w:w="1200"/>
      </w:tblGrid>
      <w:tr>
        <w:tc>
          <w:tcPr>
            <w:tcW w:type="dxa" w:w="1440"/>
            <w:tcBorders>
              <w:top w:val="single" w:color="C9D5E8" w:sz="1"/>
              <w:left w:val="single" w:color="C9D5E8" w:sz="1"/>
              <w:bottom w:val="single" w:color="C9D5E8" w:sz="1"/>
              <w:right w:val="single" w:color="C9D5E8"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2520"/>
            <w:tcBorders>
              <w:top w:val="single" w:color="C9D5E8" w:sz="1"/>
              <w:left w:val="single" w:color="C9D5E8" w:sz="1"/>
              <w:bottom w:val="single" w:color="C9D5E8" w:sz="1"/>
              <w:right w:val="single" w:color="C9D5E8"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Milestone</w:t>
            </w:r>
          </w:p>
        </w:tc>
        <w:tc>
          <w:tcPr>
            <w:tcW w:type="dxa" w:w="4200"/>
            <w:tcBorders>
              <w:top w:val="single" w:color="C9D5E8" w:sz="1"/>
              <w:left w:val="single" w:color="C9D5E8" w:sz="1"/>
              <w:bottom w:val="single" w:color="C9D5E8" w:sz="1"/>
              <w:right w:val="single" w:color="C9D5E8"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Deliverables</w:t>
            </w:r>
          </w:p>
        </w:tc>
        <w:tc>
          <w:tcPr>
            <w:tcW w:type="dxa" w:w="1200"/>
            <w:tcBorders>
              <w:top w:val="single" w:color="C9D5E8" w:sz="1"/>
              <w:left w:val="single" w:color="C9D5E8" w:sz="1"/>
              <w:bottom w:val="single" w:color="C9D5E8" w:sz="1"/>
              <w:right w:val="single" w:color="C9D5E8"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144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r>
              <w:rPr>
                <w:rFonts w:ascii="Arial" w:cs="Arial" w:eastAsia="Arial" w:hAnsi="Arial"/>
                <w:b/>
                <w:bCs/>
                <w:color w:val="595959"/>
                <w:sz w:val="20"/>
                <w:szCs w:val="20"/>
              </w:rPr>
              <w:t xml:space="preserve">Phase 0</w:t>
            </w:r>
          </w:p>
        </w:tc>
        <w:tc>
          <w:tcPr>
            <w:tcW w:type="dxa" w:w="252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r>
              <w:rPr>
                <w:rFonts w:ascii="Arial" w:cs="Arial" w:eastAsia="Arial" w:hAnsi="Arial"/>
                <w:b w:val="false"/>
                <w:bCs w:val="false"/>
                <w:color w:val="595959"/>
                <w:sz w:val="20"/>
                <w:szCs w:val="20"/>
              </w:rPr>
              <w:t xml:space="preserve">Foundation (Complete)</w:t>
            </w:r>
          </w:p>
        </w:tc>
        <w:tc>
          <w:tcPr>
            <w:tcW w:type="dxa" w:w="420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r>
              <w:rPr>
                <w:rFonts w:ascii="Arial" w:cs="Arial" w:eastAsia="Arial" w:hAnsi="Arial"/>
                <w:b w:val="false"/>
                <w:bCs w:val="false"/>
                <w:color w:val="595959"/>
                <w:sz w:val="20"/>
                <w:szCs w:val="20"/>
              </w:rPr>
              <w:t xml:space="preserve">Policy extraction pipeline; 237 dual-lifecycle-classified policies from NIST, OWASP, CWE; initial C-code security evaluation scripts</w:t>
            </w:r>
          </w:p>
        </w:tc>
        <w:tc>
          <w:tcPr>
            <w:tcW w:type="dxa" w:w="120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pPr>
              <w:jc w:val="center"/>
            </w:pPr>
            <w:r>
              <w:rPr>
                <w:rFonts w:ascii="Arial" w:cs="Arial" w:eastAsia="Arial" w:hAnsi="Arial"/>
                <w:b w:val="false"/>
                <w:bCs w:val="false"/>
                <w:color w:val="595959"/>
                <w:sz w:val="20"/>
                <w:szCs w:val="20"/>
              </w:rPr>
              <w:t xml:space="preserve">Done</w:t>
            </w:r>
          </w:p>
        </w:tc>
      </w:tr>
      <w:tr>
        <w:tc>
          <w:tcPr>
            <w:tcW w:type="dxa" w:w="1440"/>
            <w:tcBorders>
              <w:top w:val="single" w:color="C9D5E8" w:sz="1"/>
              <w:left w:val="single" w:color="C9D5E8" w:sz="1"/>
              <w:bottom w:val="single" w:color="C9D5E8" w:sz="1"/>
              <w:right w:val="single" w:color="C9D5E8" w:sz="1"/>
            </w:tcBorders>
            <w:shd w:fill="FFFFFF" w:val="clear"/>
            <w:tcMar>
              <w:top w:type="dxa" w:w="80"/>
              <w:left w:type="dxa" w:w="120"/>
              <w:bottom w:type="dxa" w:w="80"/>
              <w:right w:type="dxa" w:w="120"/>
            </w:tcMar>
          </w:tcPr>
          <w:p>
            <w:r>
              <w:rPr>
                <w:rFonts w:ascii="Arial" w:cs="Arial" w:eastAsia="Arial" w:hAnsi="Arial"/>
                <w:b/>
                <w:bCs/>
                <w:color w:val="595959"/>
                <w:sz w:val="20"/>
                <w:szCs w:val="20"/>
              </w:rPr>
              <w:t xml:space="preserve">Phase 1</w:t>
            </w:r>
          </w:p>
        </w:tc>
        <w:tc>
          <w:tcPr>
            <w:tcW w:type="dxa" w:w="2520"/>
            <w:tcBorders>
              <w:top w:val="single" w:color="C9D5E8" w:sz="1"/>
              <w:left w:val="single" w:color="C9D5E8" w:sz="1"/>
              <w:bottom w:val="single" w:color="C9D5E8" w:sz="1"/>
              <w:right w:val="single" w:color="C9D5E8"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Taxonomy</w:t>
            </w:r>
          </w:p>
        </w:tc>
        <w:tc>
          <w:tcPr>
            <w:tcW w:type="dxa" w:w="4200"/>
            <w:tcBorders>
              <w:top w:val="single" w:color="C9D5E8" w:sz="1"/>
              <w:left w:val="single" w:color="C9D5E8" w:sz="1"/>
              <w:bottom w:val="single" w:color="C9D5E8" w:sz="1"/>
              <w:right w:val="single" w:color="C9D5E8"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Observational study of 6 agents; annotated trajectory dataset; dual-lifecycle behavioral taxonomy with inter-annotator agreement</w:t>
            </w:r>
          </w:p>
        </w:tc>
        <w:tc>
          <w:tcPr>
            <w:tcW w:type="dxa" w:w="1200"/>
            <w:tcBorders>
              <w:top w:val="single" w:color="C9D5E8" w:sz="1"/>
              <w:left w:val="single" w:color="C9D5E8" w:sz="1"/>
              <w:bottom w:val="single" w:color="C9D5E8" w:sz="1"/>
              <w:right w:val="single" w:color="C9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0"/>
                <w:szCs w:val="20"/>
              </w:rPr>
              <w:t xml:space="preserve">Next</w:t>
            </w:r>
          </w:p>
        </w:tc>
      </w:tr>
      <w:tr>
        <w:tc>
          <w:tcPr>
            <w:tcW w:type="dxa" w:w="144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r>
              <w:rPr>
                <w:rFonts w:ascii="Arial" w:cs="Arial" w:eastAsia="Arial" w:hAnsi="Arial"/>
                <w:b/>
                <w:bCs/>
                <w:color w:val="595959"/>
                <w:sz w:val="20"/>
                <w:szCs w:val="20"/>
              </w:rPr>
              <w:t xml:space="preserve">Phase 2</w:t>
            </w:r>
          </w:p>
        </w:tc>
        <w:tc>
          <w:tcPr>
            <w:tcW w:type="dxa" w:w="252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r>
              <w:rPr>
                <w:rFonts w:ascii="Arial" w:cs="Arial" w:eastAsia="Arial" w:hAnsi="Arial"/>
                <w:b w:val="false"/>
                <w:bCs w:val="false"/>
                <w:color w:val="595959"/>
                <w:sz w:val="20"/>
                <w:szCs w:val="20"/>
              </w:rPr>
              <w:t xml:space="preserve">Policy Language</w:t>
            </w:r>
          </w:p>
        </w:tc>
        <w:tc>
          <w:tcPr>
            <w:tcW w:type="dxa" w:w="420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r>
              <w:rPr>
                <w:rFonts w:ascii="Arial" w:cs="Arial" w:eastAsia="Arial" w:hAnsi="Arial"/>
                <w:b w:val="false"/>
                <w:bCs w:val="false"/>
                <w:color w:val="595959"/>
                <w:sz w:val="20"/>
                <w:szCs w:val="20"/>
              </w:rPr>
              <w:t xml:space="preserve">Formal grammar; validated policy knowledge base; ambiguity and measurability scoring; sample policy expressions for each category</w:t>
            </w:r>
          </w:p>
        </w:tc>
        <w:tc>
          <w:tcPr>
            <w:tcW w:type="dxa" w:w="120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pPr>
              <w:jc w:val="center"/>
            </w:pPr>
            <w:r>
              <w:rPr>
                <w:rFonts w:ascii="Arial" w:cs="Arial" w:eastAsia="Arial" w:hAnsi="Arial"/>
                <w:b w:val="false"/>
                <w:bCs w:val="false"/>
                <w:color w:val="595959"/>
                <w:sz w:val="20"/>
                <w:szCs w:val="20"/>
              </w:rPr>
              <w:t xml:space="preserve">Planned</w:t>
            </w:r>
          </w:p>
        </w:tc>
      </w:tr>
      <w:tr>
        <w:tc>
          <w:tcPr>
            <w:tcW w:type="dxa" w:w="1440"/>
            <w:tcBorders>
              <w:top w:val="single" w:color="C9D5E8" w:sz="1"/>
              <w:left w:val="single" w:color="C9D5E8" w:sz="1"/>
              <w:bottom w:val="single" w:color="C9D5E8" w:sz="1"/>
              <w:right w:val="single" w:color="C9D5E8" w:sz="1"/>
            </w:tcBorders>
            <w:shd w:fill="FFFFFF" w:val="clear"/>
            <w:tcMar>
              <w:top w:type="dxa" w:w="80"/>
              <w:left w:type="dxa" w:w="120"/>
              <w:bottom w:type="dxa" w:w="80"/>
              <w:right w:type="dxa" w:w="120"/>
            </w:tcMar>
          </w:tcPr>
          <w:p>
            <w:r>
              <w:rPr>
                <w:rFonts w:ascii="Arial" w:cs="Arial" w:eastAsia="Arial" w:hAnsi="Arial"/>
                <w:b/>
                <w:bCs/>
                <w:color w:val="595959"/>
                <w:sz w:val="20"/>
                <w:szCs w:val="20"/>
              </w:rPr>
              <w:t xml:space="preserve">Phase 3</w:t>
            </w:r>
          </w:p>
        </w:tc>
        <w:tc>
          <w:tcPr>
            <w:tcW w:type="dxa" w:w="2520"/>
            <w:tcBorders>
              <w:top w:val="single" w:color="C9D5E8" w:sz="1"/>
              <w:left w:val="single" w:color="C9D5E8" w:sz="1"/>
              <w:bottom w:val="single" w:color="C9D5E8" w:sz="1"/>
              <w:right w:val="single" w:color="C9D5E8"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Benchmark (AgentSecBench)</w:t>
            </w:r>
          </w:p>
        </w:tc>
        <w:tc>
          <w:tcPr>
            <w:tcW w:type="dxa" w:w="4200"/>
            <w:tcBorders>
              <w:top w:val="single" w:color="C9D5E8" w:sz="1"/>
              <w:left w:val="single" w:color="C9D5E8" w:sz="1"/>
              <w:bottom w:val="single" w:color="C9D5E8" w:sz="1"/>
              <w:right w:val="single" w:color="C9D5E8"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Task suite spanning all SDLC stages; automated security oracles; public release</w:t>
            </w:r>
          </w:p>
        </w:tc>
        <w:tc>
          <w:tcPr>
            <w:tcW w:type="dxa" w:w="1200"/>
            <w:tcBorders>
              <w:top w:val="single" w:color="C9D5E8" w:sz="1"/>
              <w:left w:val="single" w:color="C9D5E8" w:sz="1"/>
              <w:bottom w:val="single" w:color="C9D5E8" w:sz="1"/>
              <w:right w:val="single" w:color="C9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0"/>
                <w:szCs w:val="20"/>
              </w:rPr>
              <w:t xml:space="preserve">Planned</w:t>
            </w:r>
          </w:p>
        </w:tc>
      </w:tr>
      <w:tr>
        <w:tc>
          <w:tcPr>
            <w:tcW w:type="dxa" w:w="144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r>
              <w:rPr>
                <w:rFonts w:ascii="Arial" w:cs="Arial" w:eastAsia="Arial" w:hAnsi="Arial"/>
                <w:b/>
                <w:bCs/>
                <w:color w:val="595959"/>
                <w:sz w:val="20"/>
                <w:szCs w:val="20"/>
              </w:rPr>
              <w:t xml:space="preserve">Phase 4</w:t>
            </w:r>
          </w:p>
        </w:tc>
        <w:tc>
          <w:tcPr>
            <w:tcW w:type="dxa" w:w="252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r>
              <w:rPr>
                <w:rFonts w:ascii="Arial" w:cs="Arial" w:eastAsia="Arial" w:hAnsi="Arial"/>
                <w:b w:val="false"/>
                <w:bCs w:val="false"/>
                <w:color w:val="595959"/>
                <w:sz w:val="20"/>
                <w:szCs w:val="20"/>
              </w:rPr>
              <w:t xml:space="preserve">Enforcement &amp; Evaluation</w:t>
            </w:r>
          </w:p>
        </w:tc>
        <w:tc>
          <w:tcPr>
            <w:tcW w:type="dxa" w:w="420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r>
              <w:rPr>
                <w:rFonts w:ascii="Arial" w:cs="Arial" w:eastAsia="Arial" w:hAnsi="Arial"/>
                <w:b w:val="false"/>
                <w:bCs w:val="false"/>
                <w:color w:val="595959"/>
                <w:sz w:val="20"/>
                <w:szCs w:val="20"/>
              </w:rPr>
              <w:t xml:space="preserve">Runtime enforcement engine; evaluation across 6 agents; IBR, PVR, TCR results; ablation studies; paper submission</w:t>
            </w:r>
          </w:p>
        </w:tc>
        <w:tc>
          <w:tcPr>
            <w:tcW w:type="dxa" w:w="1200"/>
            <w:tcBorders>
              <w:top w:val="single" w:color="C9D5E8" w:sz="1"/>
              <w:left w:val="single" w:color="C9D5E8" w:sz="1"/>
              <w:bottom w:val="single" w:color="C9D5E8" w:sz="1"/>
              <w:right w:val="single" w:color="C9D5E8" w:sz="1"/>
            </w:tcBorders>
            <w:shd w:fill="EEF3FA" w:val="clear"/>
            <w:tcMar>
              <w:top w:type="dxa" w:w="80"/>
              <w:left w:type="dxa" w:w="120"/>
              <w:bottom w:type="dxa" w:w="80"/>
              <w:right w:type="dxa" w:w="120"/>
            </w:tcMar>
          </w:tcPr>
          <w:p>
            <w:pPr>
              <w:jc w:val="center"/>
            </w:pPr>
            <w:r>
              <w:rPr>
                <w:rFonts w:ascii="Arial" w:cs="Arial" w:eastAsia="Arial" w:hAnsi="Arial"/>
                <w:b w:val="false"/>
                <w:bCs w:val="false"/>
                <w:color w:val="595959"/>
                <w:sz w:val="20"/>
                <w:szCs w:val="20"/>
              </w:rPr>
              <w:t xml:space="preserve">Planned</w:t>
            </w:r>
          </w:p>
        </w:tc>
      </w:tr>
    </w:tbl>
    <w:p>
      <w:pPr>
        <w:spacing w:after="40" w:before="100"/>
      </w:pPr>
    </w:p>
    <w:p>
      <w:pPr>
        <w:spacing w:after="120" w:before="0"/>
        <w:jc w:val="center"/>
      </w:pPr>
      <w:r>
        <w:rPr>
          <w:rFonts w:ascii="Arial" w:cs="Arial" w:eastAsia="Arial" w:hAnsi="Arial"/>
          <w:i/>
          <w:iCs/>
          <w:color w:val="595959"/>
          <w:sz w:val="19"/>
          <w:szCs w:val="19"/>
        </w:rPr>
        <w:t xml:space="preserve">Table 4. Research roadmap. Phase 0 deliverables are already complete.</w:t>
      </w:r>
    </w:p>
    <w:p>
      <w:r>
        <w:br w:type="page"/>
      </w:r>
    </w:p>
    <w:p>
      <w:pPr>
        <w:pStyle w:val="Heading1"/>
        <w:spacing w:after="160" w:before="320"/>
      </w:pPr>
      <w:r>
        <w:rPr>
          <w:rFonts w:ascii="Arial" w:cs="Arial" w:eastAsia="Arial" w:hAnsi="Arial"/>
          <w:b/>
          <w:bCs/>
          <w:color w:val="1F3864"/>
          <w:sz w:val="32"/>
          <w:szCs w:val="32"/>
        </w:rPr>
        <w:t xml:space="preserve">9.  References</w:t>
      </w:r>
    </w:p>
    <w:p>
      <w:pPr>
        <w:pBdr>
          <w:bottom w:val="single" w:color="2E75B6" w:sz="4" w:space="1"/>
        </w:pBdr>
        <w:spacing w:after="40" w:before="40"/>
      </w:pPr>
    </w:p>
    <w:p>
      <w:pPr>
        <w:spacing w:after="40" w:before="80"/>
      </w:pPr>
    </w:p>
    <w:p>
      <w:pPr>
        <w:spacing w:after="60" w:before="60"/>
        <w:ind w:left="400" w:hanging="400"/>
      </w:pPr>
      <w:r>
        <w:rPr>
          <w:rFonts w:ascii="Arial" w:cs="Arial" w:eastAsia="Arial" w:hAnsi="Arial"/>
          <w:color w:val="595959"/>
          <w:sz w:val="20"/>
          <w:szCs w:val="20"/>
        </w:rPr>
        <w:t xml:space="preserve">[1]  "When Developer Aid Becomes Security Debt: A Systematic Analysis of Insecure Behaviors in LLM Coding Agents." NeurIPS 2025. arXiv:2507.09329.</w:t>
      </w:r>
    </w:p>
    <w:p>
      <w:pPr>
        <w:spacing w:after="60" w:before="60"/>
        <w:ind w:left="400" w:hanging="400"/>
      </w:pPr>
      <w:r>
        <w:rPr>
          <w:rFonts w:ascii="Arial" w:cs="Arial" w:eastAsia="Arial" w:hAnsi="Arial"/>
          <w:color w:val="595959"/>
          <w:sz w:val="20"/>
          <w:szCs w:val="20"/>
        </w:rPr>
        <w:t xml:space="preserve">[2]  Wan et al. "Is Vibe Coding Safe? Benchmarking Vulnerability of Agent-Generated Code in Real-World Tasks (SusVibes)." arXiv:2512.03262.</w:t>
      </w:r>
    </w:p>
    <w:p>
      <w:pPr>
        <w:spacing w:after="60" w:before="60"/>
        <w:ind w:left="400" w:hanging="400"/>
      </w:pPr>
      <w:r>
        <w:rPr>
          <w:rFonts w:ascii="Arial" w:cs="Arial" w:eastAsia="Arial" w:hAnsi="Arial"/>
          <w:color w:val="595959"/>
          <w:sz w:val="20"/>
          <w:szCs w:val="20"/>
        </w:rPr>
        <w:t xml:space="preserve">[3]  "SecureAgentBench: Evaluating Security of LLM-based Agents." arXiv:2509.22097.</w:t>
      </w:r>
    </w:p>
    <w:p>
      <w:pPr>
        <w:spacing w:after="60" w:before="60"/>
        <w:ind w:left="400" w:hanging="400"/>
      </w:pPr>
      <w:r>
        <w:rPr>
          <w:rFonts w:ascii="Arial" w:cs="Arial" w:eastAsia="Arial" w:hAnsi="Arial"/>
          <w:color w:val="595959"/>
          <w:sz w:val="20"/>
          <w:szCs w:val="20"/>
        </w:rPr>
        <w:t xml:space="preserve">[4]  "SecRepoBench: Benchmarking LLMs for Secure Code Generation in Real-World Repositories." arXiv:2504.21205.</w:t>
      </w:r>
    </w:p>
    <w:p>
      <w:pPr>
        <w:spacing w:after="60" w:before="60"/>
        <w:ind w:left="400" w:hanging="400"/>
      </w:pPr>
      <w:r>
        <w:rPr>
          <w:rFonts w:ascii="Arial" w:cs="Arial" w:eastAsia="Arial" w:hAnsi="Arial"/>
          <w:color w:val="595959"/>
          <w:sz w:val="20"/>
          <w:szCs w:val="20"/>
        </w:rPr>
        <w:t xml:space="preserve">[5]  Lin et al. "CWEval: Outcome-driven Evaluation on Functionality and Security of LLM Code Generation." IEEE S&amp;P 2025. DOI:10.1109/sp46215.2023.00145.</w:t>
      </w:r>
    </w:p>
    <w:p>
      <w:pPr>
        <w:spacing w:after="60" w:before="60"/>
        <w:ind w:left="400" w:hanging="400"/>
      </w:pPr>
      <w:r>
        <w:rPr>
          <w:rFonts w:ascii="Arial" w:cs="Arial" w:eastAsia="Arial" w:hAnsi="Arial"/>
          <w:color w:val="595959"/>
          <w:sz w:val="20"/>
          <w:szCs w:val="20"/>
        </w:rPr>
        <w:t xml:space="preserve">[6]  "BaxBench: Can LLMs Generate Correct and Secure Backends?" arXiv:2502.11844.</w:t>
      </w:r>
    </w:p>
    <w:p>
      <w:pPr>
        <w:spacing w:after="60" w:before="60"/>
        <w:ind w:left="400" w:hanging="400"/>
      </w:pPr>
      <w:r>
        <w:rPr>
          <w:rFonts w:ascii="Arial" w:cs="Arial" w:eastAsia="Arial" w:hAnsi="Arial"/>
          <w:color w:val="595959"/>
          <w:sz w:val="20"/>
          <w:szCs w:val="20"/>
        </w:rPr>
        <w:t xml:space="preserve">[7]  "Policy Compiler for Secure Agentic Systems (PCAS)." arXiv:2602.16708.</w:t>
      </w:r>
    </w:p>
    <w:p>
      <w:pPr>
        <w:spacing w:after="60" w:before="60"/>
        <w:ind w:left="400" w:hanging="400"/>
      </w:pPr>
      <w:r>
        <w:rPr>
          <w:rFonts w:ascii="Arial" w:cs="Arial" w:eastAsia="Arial" w:hAnsi="Arial"/>
          <w:color w:val="595959"/>
          <w:sz w:val="20"/>
          <w:szCs w:val="20"/>
        </w:rPr>
        <w:t xml:space="preserve">[8]  "Agent Behavioral Contracts: Formal Specification and Runtime Enforcement." arXiv:2602.22302.</w:t>
      </w:r>
    </w:p>
    <w:p>
      <w:pPr>
        <w:spacing w:after="60" w:before="60"/>
        <w:ind w:left="400" w:hanging="400"/>
      </w:pPr>
      <w:r>
        <w:rPr>
          <w:rFonts w:ascii="Arial" w:cs="Arial" w:eastAsia="Arial" w:hAnsi="Arial"/>
          <w:color w:val="595959"/>
          <w:sz w:val="20"/>
          <w:szCs w:val="20"/>
        </w:rPr>
        <w:t xml:space="preserve">[9]  "Enforcing Temporal Constraints for LLM Agents (Agent-C)." arXiv:2512.23738.</w:t>
      </w:r>
    </w:p>
    <w:p>
      <w:pPr>
        <w:spacing w:after="60" w:before="60"/>
        <w:ind w:left="400" w:hanging="400"/>
      </w:pPr>
      <w:r>
        <w:rPr>
          <w:rFonts w:ascii="Arial" w:cs="Arial" w:eastAsia="Arial" w:hAnsi="Arial"/>
          <w:color w:val="595959"/>
          <w:sz w:val="20"/>
          <w:szCs w:val="20"/>
        </w:rPr>
        <w:t xml:space="preserve">[10] "Customizable Runtime Enforcement for Safe and Reliable LLM Agents." arXiv:2503.18666.</w:t>
      </w:r>
    </w:p>
    <w:p>
      <w:pPr>
        <w:spacing w:after="60" w:before="60"/>
        <w:ind w:left="400" w:hanging="400"/>
      </w:pPr>
      <w:r>
        <w:rPr>
          <w:rFonts w:ascii="Arial" w:cs="Arial" w:eastAsia="Arial" w:hAnsi="Arial"/>
          <w:color w:val="595959"/>
          <w:sz w:val="20"/>
          <w:szCs w:val="20"/>
        </w:rPr>
        <w:t xml:space="preserve">[11] "Your AI, My Shell: Demystifying Prompt Injection Attacks on Agentic AI Coding Editors (AIShellJack)." arXiv:2509.22040.</w:t>
      </w:r>
    </w:p>
    <w:p>
      <w:pPr>
        <w:spacing w:after="60" w:before="60"/>
        <w:ind w:left="400" w:hanging="400"/>
      </w:pPr>
      <w:r>
        <w:rPr>
          <w:rFonts w:ascii="Arial" w:cs="Arial" w:eastAsia="Arial" w:hAnsi="Arial"/>
          <w:color w:val="595959"/>
          <w:sz w:val="20"/>
          <w:szCs w:val="20"/>
        </w:rPr>
        <w:t xml:space="preserve">[12] "Prompt Injection Attacks on Agentic Coding Assistants: A Systematic Analysis." arXiv:2601.17548.</w:t>
      </w:r>
    </w:p>
    <w:p>
      <w:pPr>
        <w:spacing w:after="60" w:before="60"/>
        <w:ind w:left="400" w:hanging="400"/>
      </w:pPr>
      <w:r>
        <w:rPr>
          <w:rFonts w:ascii="Arial" w:cs="Arial" w:eastAsia="Arial" w:hAnsi="Arial"/>
          <w:color w:val="595959"/>
          <w:sz w:val="20"/>
          <w:szCs w:val="20"/>
        </w:rPr>
        <w:t xml:space="preserve">[13] "A Comprehensive Study of LLM Secure Code Generation." arXiv:2503.15554.</w:t>
      </w:r>
    </w:p>
    <w:p>
      <w:pPr>
        <w:spacing w:after="60" w:before="60"/>
        <w:ind w:left="400" w:hanging="400"/>
      </w:pPr>
      <w:r>
        <w:rPr>
          <w:rFonts w:ascii="Arial" w:cs="Arial" w:eastAsia="Arial" w:hAnsi="Arial"/>
          <w:color w:val="595959"/>
          <w:sz w:val="20"/>
          <w:szCs w:val="20"/>
        </w:rPr>
        <w:t xml:space="preserve">[14] "The Hidden Risks of LLM-Generated Web Application Code." arXiv:2504.20612.</w:t>
      </w:r>
    </w:p>
    <w:p>
      <w:pPr>
        <w:spacing w:after="60" w:before="60"/>
        <w:ind w:left="400" w:hanging="400"/>
      </w:pPr>
      <w:r>
        <w:rPr>
          <w:rFonts w:ascii="Arial" w:cs="Arial" w:eastAsia="Arial" w:hAnsi="Arial"/>
          <w:color w:val="595959"/>
          <w:sz w:val="20"/>
          <w:szCs w:val="20"/>
        </w:rPr>
        <w:t xml:space="preserve">[15] "Security Degradation in Iterative AI Code Generation." IEEE-ISTAS 2025. arXiv:2506.11022.</w:t>
      </w:r>
    </w:p>
    <w:p>
      <w:pPr>
        <w:spacing w:after="60" w:before="60"/>
        <w:ind w:left="400" w:hanging="400"/>
      </w:pPr>
      <w:r>
        <w:rPr>
          <w:rFonts w:ascii="Arial" w:cs="Arial" w:eastAsia="Arial" w:hAnsi="Arial"/>
          <w:color w:val="595959"/>
          <w:sz w:val="20"/>
          <w:szCs w:val="20"/>
        </w:rPr>
        <w:t xml:space="preserve">[16] "Regulating the Agency of LLM-based Agents." arXiv:2509.22735.</w:t>
      </w:r>
    </w:p>
    <w:p>
      <w:pPr>
        <w:spacing w:after="60" w:before="60"/>
        <w:ind w:left="400" w:hanging="400"/>
      </w:pPr>
      <w:r>
        <w:rPr>
          <w:rFonts w:ascii="Arial" w:cs="Arial" w:eastAsia="Arial" w:hAnsi="Arial"/>
          <w:color w:val="595959"/>
          <w:sz w:val="20"/>
          <w:szCs w:val="20"/>
        </w:rPr>
        <w:t xml:space="preserve">[17] NIST. "Secure Software Development Framework (SSDF), SP 800-218." 2022.</w:t>
      </w:r>
    </w:p>
    <w:p>
      <w:pPr>
        <w:spacing w:after="60" w:before="60"/>
        <w:ind w:left="400" w:hanging="400"/>
      </w:pPr>
      <w:r>
        <w:rPr>
          <w:rFonts w:ascii="Arial" w:cs="Arial" w:eastAsia="Arial" w:hAnsi="Arial"/>
          <w:color w:val="595959"/>
          <w:sz w:val="20"/>
          <w:szCs w:val="20"/>
        </w:rPr>
        <w:t xml:space="preserve">[18] OWASP. "OWASP Top 10 for LLM Applications 2025." owasp.org.</w:t>
      </w:r>
    </w:p>
    <w:p>
      <w:pPr>
        <w:spacing w:after="60" w:before="60"/>
        <w:ind w:left="400" w:hanging="400"/>
      </w:pPr>
      <w:r>
        <w:rPr>
          <w:rFonts w:ascii="Arial" w:cs="Arial" w:eastAsia="Arial" w:hAnsi="Arial"/>
          <w:color w:val="595959"/>
          <w:sz w:val="20"/>
          <w:szCs w:val="20"/>
        </w:rPr>
        <w:t xml:space="preserve">[19] OWASP. "Application Security Verification Standard (ASVS) v4.0." owasp.org.</w:t>
      </w:r>
    </w:p>
    <w:p>
      <w:pPr>
        <w:spacing w:after="60" w:before="60"/>
        <w:ind w:left="400" w:hanging="400"/>
      </w:pPr>
      <w:r>
        <w:rPr>
          <w:rFonts w:ascii="Arial" w:cs="Arial" w:eastAsia="Arial" w:hAnsi="Arial"/>
          <w:color w:val="595959"/>
          <w:sz w:val="20"/>
          <w:szCs w:val="20"/>
        </w:rPr>
        <w:t xml:space="preserve">[20] MITRE. "CWE Top 25 Most Dangerous Software Weaknesses 2024." cwe.mitre.org.</w:t>
      </w:r>
    </w:p>
    <w:p>
      <w:pPr>
        <w:spacing w:after="60" w:before="60"/>
        <w:ind w:left="400" w:hanging="400"/>
      </w:pPr>
      <w:r>
        <w:rPr>
          <w:rFonts w:ascii="Arial" w:cs="Arial" w:eastAsia="Arial" w:hAnsi="Arial"/>
          <w:color w:val="595959"/>
          <w:sz w:val="20"/>
          <w:szCs w:val="20"/>
        </w:rPr>
        <w:t xml:space="preserve">[21] Mitiga Security. "AI Agent Supply Chain Risk: Silent Codebase Exfiltration via Skills." mitiga.io, 2025.</w:t>
      </w:r>
    </w:p>
    <w:p>
      <w:pPr>
        <w:spacing w:after="60" w:before="60"/>
        <w:ind w:left="400" w:hanging="400"/>
      </w:pPr>
      <w:r>
        <w:rPr>
          <w:rFonts w:ascii="Arial" w:cs="Arial" w:eastAsia="Arial" w:hAnsi="Arial"/>
          <w:color w:val="595959"/>
          <w:sz w:val="20"/>
          <w:szCs w:val="20"/>
        </w:rPr>
        <w:t xml:space="preserve">[22] "A Survey on Agentic Security." arXiv:2510.06445.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after="0" w:before="120"/>
    </w:pPr>
    <w:r>
      <w:rPr>
        <w:rFonts w:ascii="Arial" w:cs="Arial" w:eastAsia="Arial" w:hAnsi="Arial"/>
        <w:color w:val="595959"/>
        <w:sz w:val="18"/>
        <w:szCs w:val="18"/>
      </w:rPr>
      <w:t xml:space="preserve">Agent Secure Behavior Project</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before="0"/>
    </w:pPr>
    <w:r>
      <w:rPr>
        <w:rFonts w:ascii="Arial" w:cs="Arial" w:eastAsia="Arial" w:hAnsi="Arial"/>
        <w:color w:val="2E75B6"/>
        <w:sz w:val="18"/>
        <w:szCs w:val="18"/>
      </w:rPr>
      <w:t xml:space="preserve">Research Proposal: Policy-Guided Governance of LLM Coding Agent Security Behaviors</w:t>
    </w:r>
    <w:r>
      <w:rPr>
        <w:rFonts w:ascii="Arial" w:cs="Arial" w:eastAsia="Arial" w:hAnsi="Arial"/>
        <w:sz w:val="18"/>
        <w:szCs w:val="18"/>
      </w:rPr>
      <w:t xml:space="preserve">	</w:t>
    </w:r>
    <w:r>
      <w:rPr>
        <w:rFonts w:ascii="Arial" w:cs="Arial" w:eastAsia="Arial" w:hAnsi="Arial"/>
        <w:i/>
        <w:iCs/>
        <w:color w:val="595959"/>
        <w:sz w:val="18"/>
        <w:szCs w:val="18"/>
      </w:rPr>
      <w:t xml:space="preserve">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2026-03-16T02:14:26.933Z</dcterms:created>
  <dcterms:modified xsi:type="dcterms:W3CDTF">2026-03-16T02:14:26.933Z</dcterms:modified>
</cp:coreProperties>
</file>

<file path=docProps/custom.xml><?xml version="1.0" encoding="utf-8"?>
<Properties xmlns="http://schemas.openxmlformats.org/officeDocument/2006/custom-properties" xmlns:vt="http://schemas.openxmlformats.org/officeDocument/2006/docPropsVTypes"/>
</file>