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1A1A"/>
          <w:sz w:val="30"/>
          <w:szCs w:val="30"/>
        </w:rPr>
        <w:t xml:space="preserve">Denta</w:t>
      </w:r>
      <w:r>
        <w:rPr>
          <w:rFonts w:ascii="Calibri" w:cs="Calibri" w:eastAsia="Calibri" w:hAnsi="Calibri"/>
          <w:b/>
          <w:bCs/>
          <w:color w:val="5B2FB5"/>
          <w:sz w:val="30"/>
          <w:szCs w:val="30"/>
        </w:rPr>
        <w:t xml:space="preserve">Scale</w:t>
      </w:r>
    </w:p>
    <w:p>
      <w:pPr>
        <w:pBdr>
          <w:bottom w:val="single" w:color="1A1A1A" w:sz="12" w:space="8"/>
        </w:pBdr>
        <w:spacing w:after="300"/>
      </w:pPr>
      <w:r>
        <w:rPr>
          <w:rFonts w:ascii="Calibri" w:cs="Calibri" w:eastAsia="Calibri" w:hAnsi="Calibri"/>
          <w:color w:val="666666"/>
          <w:sz w:val="21"/>
          <w:szCs w:val="21"/>
        </w:rPr>
        <w:t xml:space="preserve">Marketing Services Agreement</w:t>
      </w:r>
    </w:p>
    <w:p>
      <w:pPr>
        <w:spacing w:after="200" w:line="276"/>
      </w:pPr>
      <w:r>
        <w:rPr>
          <w:rFonts w:ascii="Calibri" w:cs="Calibri" w:eastAsia="Calibri" w:hAnsi="Calibri"/>
          <w:color w:val="1A1A1A"/>
          <w:sz w:val="21"/>
          <w:szCs w:val="21"/>
        </w:rPr>
        <w:t xml:space="preserve">This Agreement is entered into as of the date signed below, between:</w:t>
      </w:r>
    </w:p>
    <w:p>
      <w:pPr>
        <w:spacing w:after="200"/>
      </w:pPr>
      <w:r>
        <w:rPr>
          <w:rFonts w:ascii="Calibri" w:cs="Calibri" w:eastAsia="Calibri" w:hAnsi="Calibri"/>
          <w:color w:val="1A1A1A"/>
          <w:sz w:val="21"/>
          <w:szCs w:val="21"/>
        </w:rPr>
        <w:t xml:space="preserve">Practice (“Client”):  </w:t>
      </w:r>
      <w:r>
        <w:rPr>
          <w:rFonts w:ascii="Calibri" w:cs="Calibri" w:eastAsia="Calibri" w:hAnsi="Calibri"/>
          <w:color w:val="666666"/>
          <w:sz w:val="21"/>
          <w:szCs w:val="21"/>
        </w:rPr>
        <w:t xml:space="preserve">______________________________________________</w:t>
      </w:r>
    </w:p>
    <w:p>
      <w:pPr>
        <w:spacing w:after="200"/>
      </w:pPr>
      <w:r>
        <w:rPr>
          <w:rFonts w:ascii="Calibri" w:cs="Calibri" w:eastAsia="Calibri" w:hAnsi="Calibri"/>
          <w:color w:val="1A1A1A"/>
          <w:sz w:val="21"/>
          <w:szCs w:val="21"/>
        </w:rPr>
        <w:t xml:space="preserve">Address:  </w:t>
      </w:r>
      <w:r>
        <w:rPr>
          <w:rFonts w:ascii="Calibri" w:cs="Calibri" w:eastAsia="Calibri" w:hAnsi="Calibri"/>
          <w:color w:val="666666"/>
          <w:sz w:val="21"/>
          <w:szCs w:val="21"/>
        </w:rPr>
        <w:t xml:space="preserve">______________________________________________</w:t>
      </w:r>
    </w:p>
    <w:p>
      <w:pPr>
        <w:spacing w:after="200"/>
      </w:pPr>
      <w:r>
        <w:rPr>
          <w:rFonts w:ascii="Calibri" w:cs="Calibri" w:eastAsia="Calibri" w:hAnsi="Calibri"/>
          <w:color w:val="1A1A1A"/>
          <w:sz w:val="21"/>
          <w:szCs w:val="21"/>
        </w:rPr>
        <w:t xml:space="preserve">Primary contact &amp; email:  </w:t>
      </w:r>
      <w:r>
        <w:rPr>
          <w:rFonts w:ascii="Calibri" w:cs="Calibri" w:eastAsia="Calibri" w:hAnsi="Calibri"/>
          <w:color w:val="666666"/>
          <w:sz w:val="21"/>
          <w:szCs w:val="21"/>
        </w:rPr>
        <w:t xml:space="preserve">______________________________________________</w:t>
      </w:r>
    </w:p>
    <w:p>
      <w:pPr>
        <w:spacing w:after="140" w:line="276"/>
      </w:pPr>
      <w:r>
        <w:rPr>
          <w:rFonts w:ascii="Calibri" w:cs="Calibri" w:eastAsia="Calibri" w:hAnsi="Calibri"/>
          <w:color w:val="1A1A1A"/>
          <w:sz w:val="21"/>
          <w:szCs w:val="21"/>
        </w:rPr>
        <w:t xml:space="preserve">and DentaScale, Los Angeles, California (“DentaScale”).</w:t>
      </w:r>
    </w:p>
    <w:p>
      <w:pPr>
        <w:pBdr>
          <w:bottom w:val="single" w:color="CCCCCC" w:sz="6" w:space="6"/>
        </w:pBdr>
        <w:spacing w:after="200" w:before="200"/>
      </w:pPr>
      <w:r>
        <w:rPr>
          <w:sz w:val="2"/>
          <w:szCs w:val="2"/>
        </w:rPr>
        <w:t xml:space="preserve"/>
      </w:r>
    </w:p>
    <w:p>
      <w:pPr>
        <w:pStyle w:val="Heading1"/>
        <w:spacing w:after="160" w:before="360"/>
      </w:pPr>
      <w:r>
        <w:rPr>
          <w:rFonts w:ascii="Calibri" w:cs="Calibri" w:eastAsia="Calibri" w:hAnsi="Calibri"/>
          <w:b/>
          <w:bCs/>
          <w:color w:val="1A1A1A"/>
          <w:sz w:val="26"/>
          <w:szCs w:val="26"/>
        </w:rPr>
        <w:t xml:space="preserve">1. Services</w:t>
      </w:r>
    </w:p>
    <w:p>
      <w:pPr>
        <w:spacing w:after="140" w:line="276"/>
      </w:pPr>
      <w:r>
        <w:rPr>
          <w:rFonts w:ascii="Calibri" w:cs="Calibri" w:eastAsia="Calibri" w:hAnsi="Calibri"/>
          <w:color w:val="1A1A1A"/>
          <w:sz w:val="21"/>
          <w:szCs w:val="21"/>
        </w:rPr>
        <w:t xml:space="preserve">DentaScale will provide the following:</w:t>
      </w:r>
    </w:p>
    <w:p>
      <w:pPr>
        <w:pStyle w:val="ListParagraph"/>
        <w:numPr>
          <w:ilvl w:val="0"/>
          <w:numId w:val="2"/>
        </w:numPr>
        <w:spacing w:after="80" w:line="276"/>
      </w:pPr>
      <w:r>
        <w:rPr>
          <w:rFonts w:ascii="Calibri" w:cs="Calibri" w:eastAsia="Calibri" w:hAnsi="Calibri"/>
          <w:color w:val="1A1A1A"/>
          <w:sz w:val="21"/>
          <w:szCs w:val="21"/>
        </w:rPr>
        <w:t xml:space="preserve">A shot list and scripts for the Client to film, and editing of the Client’s footage into advertising creative</w:t>
      </w:r>
    </w:p>
    <w:p>
      <w:pPr>
        <w:pStyle w:val="ListParagraph"/>
        <w:numPr>
          <w:ilvl w:val="0"/>
          <w:numId w:val="2"/>
        </w:numPr>
        <w:spacing w:after="80" w:line="276"/>
      </w:pPr>
      <w:r>
        <w:rPr>
          <w:rFonts w:ascii="Calibri" w:cs="Calibri" w:eastAsia="Calibri" w:hAnsi="Calibri"/>
          <w:color w:val="1A1A1A"/>
          <w:sz w:val="21"/>
          <w:szCs w:val="21"/>
        </w:rPr>
        <w:t xml:space="preserve">Ad copy, creative direction, and help choosing the best offer for the Client’s market</w:t>
      </w:r>
    </w:p>
    <w:p>
      <w:pPr>
        <w:pStyle w:val="ListParagraph"/>
        <w:numPr>
          <w:ilvl w:val="0"/>
          <w:numId w:val="2"/>
        </w:numPr>
        <w:spacing w:after="80" w:line="276"/>
      </w:pPr>
      <w:r>
        <w:rPr>
          <w:rFonts w:ascii="Calibri" w:cs="Calibri" w:eastAsia="Calibri" w:hAnsi="Calibri"/>
          <w:color w:val="1A1A1A"/>
          <w:sz w:val="21"/>
          <w:szCs w:val="21"/>
        </w:rPr>
        <w:t xml:space="preserve">A booking funnel (landing page and lead capture forms) built for the Client’s campaigns</w:t>
      </w:r>
    </w:p>
    <w:p>
      <w:pPr>
        <w:pStyle w:val="ListParagraph"/>
        <w:numPr>
          <w:ilvl w:val="0"/>
          <w:numId w:val="2"/>
        </w:numPr>
        <w:spacing w:after="80" w:line="276"/>
      </w:pPr>
      <w:r>
        <w:rPr>
          <w:rFonts w:ascii="Calibri" w:cs="Calibri" w:eastAsia="Calibri" w:hAnsi="Calibri"/>
          <w:color w:val="1A1A1A"/>
          <w:sz w:val="21"/>
          <w:szCs w:val="21"/>
        </w:rPr>
        <w:t xml:space="preserve">Setup, launch, and ongoing daily optimization of paid social advertising campaigns</w:t>
      </w:r>
    </w:p>
    <w:p>
      <w:pPr>
        <w:pStyle w:val="ListParagraph"/>
        <w:numPr>
          <w:ilvl w:val="0"/>
          <w:numId w:val="2"/>
        </w:numPr>
        <w:spacing w:after="80" w:line="276"/>
      </w:pPr>
      <w:r>
        <w:rPr>
          <w:rFonts w:ascii="Calibri" w:cs="Calibri" w:eastAsia="Calibri" w:hAnsi="Calibri"/>
          <w:color w:val="1A1A1A"/>
          <w:sz w:val="21"/>
          <w:szCs w:val="21"/>
        </w:rPr>
        <w:t xml:space="preserve">An automated system that contacts each new lead within 10 seconds, followed by an in-house DentaScale sales team that calls each lead, qualifies them for fit, books qualified patients into the Client’s consultation calendar, follows up until each lead gives a clear yes or no, and sends consult reminders</w:t>
      </w:r>
    </w:p>
    <w:p>
      <w:pPr>
        <w:pStyle w:val="ListParagraph"/>
        <w:numPr>
          <w:ilvl w:val="0"/>
          <w:numId w:val="2"/>
        </w:numPr>
        <w:spacing w:after="80" w:line="276"/>
      </w:pPr>
      <w:r>
        <w:rPr>
          <w:rFonts w:ascii="Calibri" w:cs="Calibri" w:eastAsia="Calibri" w:hAnsi="Calibri"/>
          <w:color w:val="1A1A1A"/>
          <w:sz w:val="21"/>
          <w:szCs w:val="21"/>
        </w:rPr>
        <w:t xml:space="preserve">Weekly written performance reporting</w:t>
      </w:r>
    </w:p>
    <w:p>
      <w:pPr>
        <w:pStyle w:val="Heading1"/>
        <w:spacing w:after="160" w:before="360"/>
      </w:pPr>
      <w:r>
        <w:rPr>
          <w:rFonts w:ascii="Calibri" w:cs="Calibri" w:eastAsia="Calibri" w:hAnsi="Calibri"/>
          <w:b/>
          <w:bCs/>
          <w:color w:val="1A1A1A"/>
          <w:sz w:val="26"/>
          <w:szCs w:val="26"/>
        </w:rPr>
        <w:t xml:space="preserve">2. Fees</w:t>
      </w:r>
    </w:p>
    <w:p>
      <w:pPr>
        <w:spacing w:after="140" w:line="276"/>
      </w:pPr>
      <w:r>
        <w:rPr>
          <w:rFonts w:ascii="Calibri" w:cs="Calibri" w:eastAsia="Calibri" w:hAnsi="Calibri"/>
          <w:color w:val="1A1A1A"/>
          <w:sz w:val="21"/>
          <w:szCs w:val="21"/>
        </w:rPr>
        <w:t xml:space="preserve">The monthly fee is $2,000 for campaigns on Meta. Adding Google Ads brings the monthly fee to $4,000.</w:t>
      </w:r>
    </w:p>
    <w:p>
      <w:pPr>
        <w:spacing w:after="140" w:line="276"/>
      </w:pPr>
      <w:r>
        <w:rPr>
          <w:rFonts w:ascii="Calibri" w:cs="Calibri" w:eastAsia="Calibri" w:hAnsi="Calibri"/>
          <w:color w:val="1A1A1A"/>
          <w:sz w:val="21"/>
          <w:szCs w:val="21"/>
        </w:rPr>
        <w:t xml:space="preserve">The fee is due in advance on the same calendar day each month, beginning on the Start Date. Invoices are payable within 7 days of issue.</w:t>
      </w:r>
    </w:p>
    <w:p>
      <w:pPr>
        <w:pStyle w:val="Heading1"/>
        <w:spacing w:after="160" w:before="360"/>
      </w:pPr>
      <w:r>
        <w:rPr>
          <w:rFonts w:ascii="Calibri" w:cs="Calibri" w:eastAsia="Calibri" w:hAnsi="Calibri"/>
          <w:b/>
          <w:bCs/>
          <w:color w:val="1A1A1A"/>
          <w:sz w:val="26"/>
          <w:szCs w:val="26"/>
        </w:rPr>
        <w:t xml:space="preserve">3. Advertising spend</w:t>
      </w:r>
    </w:p>
    <w:p>
      <w:pPr>
        <w:spacing w:after="140" w:line="276"/>
      </w:pPr>
      <w:r>
        <w:rPr>
          <w:rFonts w:ascii="Calibri" w:cs="Calibri" w:eastAsia="Calibri" w:hAnsi="Calibri"/>
          <w:color w:val="1A1A1A"/>
          <w:sz w:val="21"/>
          <w:szCs w:val="21"/>
        </w:rPr>
        <w:t xml:space="preserve">Advertising spend is separate from DentaScale’s fee and is paid by the Client directly to the advertising platforms. DentaScale does not handle, hold, or invoice advertising spend.</w:t>
      </w:r>
    </w:p>
    <w:p>
      <w:pPr>
        <w:spacing w:after="140" w:line="276"/>
      </w:pPr>
      <w:r>
        <w:rPr>
          <w:rFonts w:ascii="Calibri" w:cs="Calibri" w:eastAsia="Calibri" w:hAnsi="Calibri"/>
          <w:color w:val="1A1A1A"/>
          <w:sz w:val="21"/>
          <w:szCs w:val="21"/>
        </w:rPr>
        <w:t xml:space="preserve">The Client agrees to maintain advertising spend of at least $50 per day. Raising the budget above this level does not change DentaScale’s fee.</w:t>
      </w:r>
    </w:p>
    <w:p>
      <w:pPr>
        <w:pStyle w:val="Heading1"/>
        <w:spacing w:after="160" w:before="360"/>
      </w:pPr>
      <w:r>
        <w:rPr>
          <w:rFonts w:ascii="Calibri" w:cs="Calibri" w:eastAsia="Calibri" w:hAnsi="Calibri"/>
          <w:b/>
          <w:bCs/>
          <w:color w:val="1A1A1A"/>
          <w:sz w:val="26"/>
          <w:szCs w:val="26"/>
        </w:rPr>
        <w:t xml:space="preserve">4. Term and cancellation</w:t>
      </w:r>
    </w:p>
    <w:p>
      <w:pPr>
        <w:spacing w:after="140" w:line="276"/>
      </w:pPr>
      <w:r>
        <w:rPr>
          <w:rFonts w:ascii="Calibri" w:cs="Calibri" w:eastAsia="Calibri" w:hAnsi="Calibri"/>
          <w:color w:val="1A1A1A"/>
          <w:sz w:val="21"/>
          <w:szCs w:val="21"/>
        </w:rPr>
        <w:t xml:space="preserve">This Agreement runs month to month. There is no minimum term.</w:t>
      </w:r>
    </w:p>
    <w:p>
      <w:pPr>
        <w:spacing w:after="140" w:line="276"/>
      </w:pPr>
      <w:r>
        <w:rPr>
          <w:rFonts w:ascii="Calibri" w:cs="Calibri" w:eastAsia="Calibri" w:hAnsi="Calibri"/>
          <w:color w:val="1A1A1A"/>
          <w:sz w:val="21"/>
          <w:szCs w:val="21"/>
        </w:rPr>
        <w:t xml:space="preserve">Either party may cancel by giving written notice (email is sufficient) at least 7 days before the next billing date. Fees already paid for the current month are non-refundable, and DentaScale will complete the month in full.</w:t>
      </w:r>
    </w:p>
    <w:p>
      <w:pPr>
        <w:spacing w:after="140" w:line="276"/>
      </w:pPr>
      <w:r>
        <w:rPr>
          <w:rFonts w:ascii="Calibri" w:cs="Calibri" w:eastAsia="Calibri" w:hAnsi="Calibri"/>
          <w:color w:val="1A1A1A"/>
          <w:sz w:val="21"/>
          <w:szCs w:val="21"/>
        </w:rPr>
        <w:t xml:space="preserve">On cancellation, DentaScale will return control of any advertising accounts it created on the Client’s behalf and remove its own access within 5 business days.</w:t>
      </w:r>
    </w:p>
    <w:p>
      <w:pPr>
        <w:pStyle w:val="Heading1"/>
        <w:spacing w:after="160" w:before="360"/>
      </w:pPr>
      <w:r>
        <w:rPr>
          <w:rFonts w:ascii="Calibri" w:cs="Calibri" w:eastAsia="Calibri" w:hAnsi="Calibri"/>
          <w:b/>
          <w:bCs/>
          <w:color w:val="1A1A1A"/>
          <w:sz w:val="26"/>
          <w:szCs w:val="26"/>
        </w:rPr>
        <w:t xml:space="preserve">5. Client responsibilities</w:t>
      </w:r>
    </w:p>
    <w:p>
      <w:pPr>
        <w:pStyle w:val="ListParagraph"/>
        <w:numPr>
          <w:ilvl w:val="0"/>
          <w:numId w:val="2"/>
        </w:numPr>
        <w:spacing w:after="80" w:line="276"/>
      </w:pPr>
      <w:r>
        <w:rPr>
          <w:rFonts w:ascii="Calibri" w:cs="Calibri" w:eastAsia="Calibri" w:hAnsi="Calibri"/>
          <w:color w:val="1A1A1A"/>
          <w:sz w:val="21"/>
          <w:szCs w:val="21"/>
        </w:rPr>
        <w:t xml:space="preserve">Provide account access as set out in the onboarding access guide within 5 business days</w:t>
      </w:r>
    </w:p>
    <w:p>
      <w:pPr>
        <w:pStyle w:val="ListParagraph"/>
        <w:numPr>
          <w:ilvl w:val="0"/>
          <w:numId w:val="2"/>
        </w:numPr>
        <w:spacing w:after="80" w:line="276"/>
      </w:pPr>
      <w:r>
        <w:rPr>
          <w:rFonts w:ascii="Calibri" w:cs="Calibri" w:eastAsia="Calibri" w:hAnsi="Calibri"/>
          <w:color w:val="1A1A1A"/>
          <w:sz w:val="21"/>
          <w:szCs w:val="21"/>
        </w:rPr>
        <w:t xml:space="preserve">Maintain advertising spend of at least $50 per day</w:t>
      </w:r>
    </w:p>
    <w:p>
      <w:pPr>
        <w:pStyle w:val="ListParagraph"/>
        <w:numPr>
          <w:ilvl w:val="0"/>
          <w:numId w:val="2"/>
        </w:numPr>
        <w:spacing w:after="80" w:line="276"/>
      </w:pPr>
      <w:r>
        <w:rPr>
          <w:rFonts w:ascii="Calibri" w:cs="Calibri" w:eastAsia="Calibri" w:hAnsi="Calibri"/>
          <w:color w:val="1A1A1A"/>
          <w:sz w:val="21"/>
          <w:szCs w:val="21"/>
        </w:rPr>
        <w:t xml:space="preserve">Film and send the footage requested in the shot list, and approve creative without undue delay</w:t>
      </w:r>
    </w:p>
    <w:p>
      <w:pPr>
        <w:pStyle w:val="ListParagraph"/>
        <w:numPr>
          <w:ilvl w:val="0"/>
          <w:numId w:val="2"/>
        </w:numPr>
        <w:spacing w:after="80" w:line="276"/>
      </w:pPr>
      <w:r>
        <w:rPr>
          <w:rFonts w:ascii="Calibri" w:cs="Calibri" w:eastAsia="Calibri" w:hAnsi="Calibri"/>
          <w:color w:val="1A1A1A"/>
          <w:sz w:val="21"/>
          <w:szCs w:val="21"/>
        </w:rPr>
        <w:t xml:space="preserve">Keep the consultation calendar open and shared with DentaScale, and honor the consults DentaScale books</w:t>
      </w:r>
    </w:p>
    <w:p>
      <w:pPr>
        <w:pStyle w:val="ListParagraph"/>
        <w:numPr>
          <w:ilvl w:val="0"/>
          <w:numId w:val="2"/>
        </w:numPr>
        <w:spacing w:after="80" w:line="276"/>
      </w:pPr>
      <w:r>
        <w:rPr>
          <w:rFonts w:ascii="Calibri" w:cs="Calibri" w:eastAsia="Calibri" w:hAnsi="Calibri"/>
          <w:color w:val="1A1A1A"/>
          <w:sz w:val="21"/>
          <w:szCs w:val="21"/>
        </w:rPr>
        <w:t xml:space="preserve">Ensure all claims about the practice, its services, and its credentials are accurate and compliant with applicable dental advertising rules</w:t>
      </w:r>
    </w:p>
    <w:p>
      <w:pPr>
        <w:pStyle w:val="Heading1"/>
        <w:spacing w:after="160" w:before="360"/>
      </w:pPr>
      <w:r>
        <w:rPr>
          <w:rFonts w:ascii="Calibri" w:cs="Calibri" w:eastAsia="Calibri" w:hAnsi="Calibri"/>
          <w:b/>
          <w:bCs/>
          <w:color w:val="1A1A1A"/>
          <w:sz w:val="26"/>
          <w:szCs w:val="26"/>
        </w:rPr>
        <w:t xml:space="preserve">6. Content, ownership, and usage</w:t>
      </w:r>
    </w:p>
    <w:p>
      <w:pPr>
        <w:spacing w:after="140" w:line="276"/>
      </w:pPr>
      <w:r>
        <w:rPr>
          <w:rFonts w:ascii="Calibri" w:cs="Calibri" w:eastAsia="Calibri" w:hAnsi="Calibri"/>
          <w:color w:val="1A1A1A"/>
          <w:sz w:val="21"/>
          <w:szCs w:val="21"/>
        </w:rPr>
        <w:t xml:space="preserve">Advertising creative, copy, campaign structures, and the booking funnel produced under this Agreement become the property of the Client on payment of the relevant month’s fee.</w:t>
      </w:r>
    </w:p>
    <w:p>
      <w:pPr>
        <w:spacing w:after="140" w:line="276"/>
      </w:pPr>
      <w:r>
        <w:rPr>
          <w:rFonts w:ascii="Calibri" w:cs="Calibri" w:eastAsia="Calibri" w:hAnsi="Calibri"/>
          <w:color w:val="1A1A1A"/>
          <w:sz w:val="21"/>
          <w:szCs w:val="21"/>
        </w:rPr>
        <w:t xml:space="preserve">DentaScale retains ownership of its own underlying templates, systems, and methods, including its call scripts and sales processes, which are licensed to the Client for internal use only.</w:t>
      </w:r>
    </w:p>
    <w:p>
      <w:pPr>
        <w:spacing w:after="140" w:line="276"/>
      </w:pPr>
      <w:r>
        <w:rPr>
          <w:rFonts w:ascii="Calibri" w:cs="Calibri" w:eastAsia="Calibri" w:hAnsi="Calibri"/>
          <w:color w:val="1A1A1A"/>
          <w:sz w:val="21"/>
          <w:szCs w:val="21"/>
        </w:rPr>
        <w:t xml:space="preserve">DentaScale may reference the Client’s name, logo, and campaign results in its portfolio and marketing materials. The Client may withdraw this permission at any time by written notice.</w:t>
      </w:r>
    </w:p>
    <w:p>
      <w:pPr>
        <w:pStyle w:val="Heading1"/>
        <w:spacing w:after="160" w:before="360"/>
      </w:pPr>
      <w:r>
        <w:rPr>
          <w:rFonts w:ascii="Calibri" w:cs="Calibri" w:eastAsia="Calibri" w:hAnsi="Calibri"/>
          <w:b/>
          <w:bCs/>
          <w:color w:val="1A1A1A"/>
          <w:sz w:val="26"/>
          <w:szCs w:val="26"/>
        </w:rPr>
        <w:t xml:space="preserve">7. Confidentiality and data</w:t>
      </w:r>
    </w:p>
    <w:p>
      <w:pPr>
        <w:spacing w:after="140" w:line="276"/>
      </w:pPr>
      <w:r>
        <w:rPr>
          <w:rFonts w:ascii="Calibri" w:cs="Calibri" w:eastAsia="Calibri" w:hAnsi="Calibri"/>
          <w:color w:val="1A1A1A"/>
          <w:sz w:val="21"/>
          <w:szCs w:val="21"/>
        </w:rPr>
        <w:t xml:space="preserve">Each party will keep the other’s non-public business information confidential.</w:t>
      </w:r>
    </w:p>
    <w:p>
      <w:pPr>
        <w:spacing w:after="140" w:line="276"/>
      </w:pPr>
      <w:r>
        <w:rPr>
          <w:rFonts w:ascii="Calibri" w:cs="Calibri" w:eastAsia="Calibri" w:hAnsi="Calibri"/>
          <w:color w:val="1A1A1A"/>
          <w:sz w:val="21"/>
          <w:szCs w:val="21"/>
        </w:rPr>
        <w:t xml:space="preserve">The Client acknowledges that DentaScale is engaged for advertising services and is not engaged to receive, create, or maintain protected health information. The Client will not provide DentaScale with patient clinical records. Where lead contact details are handled, DentaScale will use reasonable safeguards to protect them.</w:t>
      </w:r>
    </w:p>
    <w:p>
      <w:pPr>
        <w:pStyle w:val="Heading1"/>
        <w:spacing w:after="160" w:before="360"/>
      </w:pPr>
      <w:r>
        <w:rPr>
          <w:rFonts w:ascii="Calibri" w:cs="Calibri" w:eastAsia="Calibri" w:hAnsi="Calibri"/>
          <w:b/>
          <w:bCs/>
          <w:color w:val="1A1A1A"/>
          <w:sz w:val="26"/>
          <w:szCs w:val="26"/>
        </w:rPr>
        <w:t xml:space="preserve">8. Limitation of liability</w:t>
      </w:r>
    </w:p>
    <w:p>
      <w:pPr>
        <w:spacing w:after="140" w:line="276"/>
      </w:pPr>
      <w:r>
        <w:rPr>
          <w:rFonts w:ascii="Calibri" w:cs="Calibri" w:eastAsia="Calibri" w:hAnsi="Calibri"/>
          <w:color w:val="1A1A1A"/>
          <w:sz w:val="21"/>
          <w:szCs w:val="21"/>
        </w:rPr>
        <w:t xml:space="preserve">DentaScale’s total liability under this Agreement is limited to the fees paid by the Client in the three months preceding the event giving rise to the claim. Neither party is liable for indirect or consequential losses, including lost profits.</w:t>
      </w:r>
    </w:p>
    <w:p>
      <w:pPr>
        <w:spacing w:after="140" w:line="276"/>
      </w:pPr>
      <w:r>
        <w:rPr>
          <w:rFonts w:ascii="Calibri" w:cs="Calibri" w:eastAsia="Calibri" w:hAnsi="Calibri"/>
          <w:color w:val="1A1A1A"/>
          <w:sz w:val="21"/>
          <w:szCs w:val="21"/>
        </w:rPr>
        <w:t xml:space="preserve">Advertising platforms may reject ads, suspend accounts, or change policies for reasons outside DentaScale’s control. DentaScale is not liable for such actions but will work in good faith to resolve them.</w:t>
      </w:r>
    </w:p>
    <w:p>
      <w:pPr>
        <w:pStyle w:val="Heading1"/>
        <w:spacing w:after="160" w:before="360"/>
      </w:pPr>
      <w:r>
        <w:rPr>
          <w:rFonts w:ascii="Calibri" w:cs="Calibri" w:eastAsia="Calibri" w:hAnsi="Calibri"/>
          <w:b/>
          <w:bCs/>
          <w:color w:val="1A1A1A"/>
          <w:sz w:val="26"/>
          <w:szCs w:val="26"/>
        </w:rPr>
        <w:t xml:space="preserve">9. General</w:t>
      </w:r>
    </w:p>
    <w:p>
      <w:pPr>
        <w:spacing w:after="140" w:line="276"/>
      </w:pPr>
      <w:r>
        <w:rPr>
          <w:rFonts w:ascii="Calibri" w:cs="Calibri" w:eastAsia="Calibri" w:hAnsi="Calibri"/>
          <w:color w:val="1A1A1A"/>
          <w:sz w:val="21"/>
          <w:szCs w:val="21"/>
        </w:rPr>
        <w:t xml:space="preserve">This Agreement is governed by the laws of the State of California. It represents the entire agreement between the parties and may only be amended in writing. Neither party may assign it without the other’s consent.</w:t>
      </w:r>
    </w:p>
    <w:p>
      <w:pPr>
        <w:pBdr>
          <w:bottom w:val="single" w:color="CCCCCC" w:sz="6" w:space="6"/>
        </w:pBdr>
        <w:spacing w:after="200" w:before="200"/>
      </w:pPr>
      <w:r>
        <w:rPr>
          <w:sz w:val="2"/>
          <w:szCs w:val="2"/>
        </w:rPr>
        <w:t xml:space="preserve"/>
      </w:r>
    </w:p>
    <w:p>
      <w:pPr>
        <w:pStyle w:val="Heading1"/>
        <w:spacing w:after="160" w:before="360"/>
      </w:pPr>
      <w:r>
        <w:rPr>
          <w:rFonts w:ascii="Calibri" w:cs="Calibri" w:eastAsia="Calibri" w:hAnsi="Calibri"/>
          <w:b/>
          <w:bCs/>
          <w:color w:val="1A1A1A"/>
          <w:sz w:val="26"/>
          <w:szCs w:val="26"/>
        </w:rPr>
        <w:t xml:space="preserve">Signatures</w:t>
      </w:r>
    </w:p>
    <w:p>
      <w:pPr>
        <w:spacing w:after="260" w:line="276"/>
      </w:pPr>
      <w:r>
        <w:rPr>
          <w:rFonts w:ascii="Calibri" w:cs="Calibri" w:eastAsia="Calibri" w:hAnsi="Calibri"/>
          <w:color w:val="1A1A1A"/>
          <w:sz w:val="21"/>
          <w:szCs w:val="21"/>
        </w:rPr>
        <w:t xml:space="preserve">Campaign start date:  ______________________</w:t>
      </w:r>
    </w:p>
    <w:p>
      <w:pPr>
        <w:spacing w:after="160" w:line="276"/>
      </w:pPr>
      <w:r>
        <w:rPr>
          <w:rFonts w:ascii="Calibri" w:cs="Calibri" w:eastAsia="Calibri" w:hAnsi="Calibri"/>
          <w:b/>
          <w:bCs/>
          <w:color w:val="1A1A1A"/>
          <w:sz w:val="21"/>
          <w:szCs w:val="21"/>
        </w:rPr>
        <w:t xml:space="preserve">For the Client</w:t>
      </w:r>
    </w:p>
    <w:p>
      <w:pPr>
        <w:spacing w:after="200"/>
      </w:pPr>
      <w:r>
        <w:rPr>
          <w:rFonts w:ascii="Calibri" w:cs="Calibri" w:eastAsia="Calibri" w:hAnsi="Calibri"/>
          <w:color w:val="1A1A1A"/>
          <w:sz w:val="21"/>
          <w:szCs w:val="21"/>
        </w:rPr>
        <w:t xml:space="preserve">Signature:  </w:t>
      </w:r>
      <w:r>
        <w:rPr>
          <w:rFonts w:ascii="Calibri" w:cs="Calibri" w:eastAsia="Calibri" w:hAnsi="Calibri"/>
          <w:color w:val="666666"/>
          <w:sz w:val="21"/>
          <w:szCs w:val="21"/>
        </w:rPr>
        <w:t xml:space="preserve">______________________________________________</w:t>
      </w:r>
    </w:p>
    <w:p>
      <w:pPr>
        <w:spacing w:after="200"/>
      </w:pPr>
      <w:r>
        <w:rPr>
          <w:rFonts w:ascii="Calibri" w:cs="Calibri" w:eastAsia="Calibri" w:hAnsi="Calibri"/>
          <w:color w:val="1A1A1A"/>
          <w:sz w:val="21"/>
          <w:szCs w:val="21"/>
        </w:rPr>
        <w:t xml:space="preserve">Name and title:  </w:t>
      </w:r>
      <w:r>
        <w:rPr>
          <w:rFonts w:ascii="Calibri" w:cs="Calibri" w:eastAsia="Calibri" w:hAnsi="Calibri"/>
          <w:color w:val="666666"/>
          <w:sz w:val="21"/>
          <w:szCs w:val="21"/>
        </w:rPr>
        <w:t xml:space="preserve">______________________________________________</w:t>
      </w:r>
    </w:p>
    <w:p>
      <w:pPr>
        <w:spacing w:after="200"/>
      </w:pPr>
      <w:r>
        <w:rPr>
          <w:rFonts w:ascii="Calibri" w:cs="Calibri" w:eastAsia="Calibri" w:hAnsi="Calibri"/>
          <w:color w:val="1A1A1A"/>
          <w:sz w:val="21"/>
          <w:szCs w:val="21"/>
        </w:rPr>
        <w:t xml:space="preserve">Date:  </w:t>
      </w:r>
      <w:r>
        <w:rPr>
          <w:rFonts w:ascii="Calibri" w:cs="Calibri" w:eastAsia="Calibri" w:hAnsi="Calibri"/>
          <w:color w:val="666666"/>
          <w:sz w:val="21"/>
          <w:szCs w:val="21"/>
        </w:rPr>
        <w:t xml:space="preserve">______________________________________________</w:t>
      </w:r>
    </w:p>
    <w:p>
      <w:pPr>
        <w:spacing w:after="160" w:line="276"/>
      </w:pPr>
      <w:r>
        <w:rPr>
          <w:rFonts w:ascii="Calibri" w:cs="Calibri" w:eastAsia="Calibri" w:hAnsi="Calibri"/>
          <w:b/>
          <w:bCs/>
          <w:color w:val="1A1A1A"/>
          <w:sz w:val="21"/>
          <w:szCs w:val="21"/>
        </w:rPr>
        <w:t xml:space="preserve">For DentaScale</w:t>
      </w:r>
    </w:p>
    <w:p>
      <w:pPr>
        <w:spacing w:after="200"/>
      </w:pPr>
      <w:r>
        <w:rPr>
          <w:rFonts w:ascii="Calibri" w:cs="Calibri" w:eastAsia="Calibri" w:hAnsi="Calibri"/>
          <w:color w:val="1A1A1A"/>
          <w:sz w:val="21"/>
          <w:szCs w:val="21"/>
        </w:rPr>
        <w:t xml:space="preserve">Signature:  </w:t>
      </w:r>
      <w:r>
        <w:rPr>
          <w:rFonts w:ascii="Calibri" w:cs="Calibri" w:eastAsia="Calibri" w:hAnsi="Calibri"/>
          <w:color w:val="666666"/>
          <w:sz w:val="21"/>
          <w:szCs w:val="21"/>
        </w:rPr>
        <w:t xml:space="preserve">______________________________________________</w:t>
      </w:r>
    </w:p>
    <w:p>
      <w:pPr>
        <w:spacing w:after="200" w:line="276"/>
      </w:pPr>
      <w:r>
        <w:rPr>
          <w:rFonts w:ascii="Calibri" w:cs="Calibri" w:eastAsia="Calibri" w:hAnsi="Calibri"/>
          <w:color w:val="1A1A1A"/>
          <w:sz w:val="21"/>
          <w:szCs w:val="21"/>
        </w:rPr>
        <w:t xml:space="preserve">Name and title:  Keyhan Kamelian, Founder</w:t>
      </w:r>
    </w:p>
    <w:p>
      <w:pPr>
        <w:spacing w:after="200"/>
      </w:pPr>
      <w:r>
        <w:rPr>
          <w:rFonts w:ascii="Calibri" w:cs="Calibri" w:eastAsia="Calibri" w:hAnsi="Calibri"/>
          <w:color w:val="1A1A1A"/>
          <w:sz w:val="21"/>
          <w:szCs w:val="21"/>
        </w:rPr>
        <w:t xml:space="preserve">Date:  </w:t>
      </w:r>
      <w:r>
        <w:rPr>
          <w:rFonts w:ascii="Calibri" w:cs="Calibri" w:eastAsia="Calibri" w:hAnsi="Calibri"/>
          <w:color w:val="666666"/>
          <w:sz w:val="21"/>
          <w:szCs w:val="21"/>
        </w:rPr>
        <w:t xml:space="preserve">______________________________________________</w:t>
      </w:r>
    </w:p>
    <w:p>
      <w:pPr>
        <w:spacing w:before="300"/>
      </w:pPr>
      <w:r>
        <w:rPr>
          <w:rFonts w:ascii="Calibri" w:cs="Calibri" w:eastAsia="Calibri" w:hAnsi="Calibri"/>
          <w:color w:val="666666"/>
          <w:sz w:val="17"/>
          <w:szCs w:val="17"/>
        </w:rPr>
        <w:t xml:space="preserve">DentaScale  ·  310-694-7875  ·  keyhan@dentascale.net  ·  dentascale.net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2026-09-10T18:00:00.960Z</dcterms:created>
  <dcterms:modified xsi:type="dcterms:W3CDTF">2026-09-10T18:00:00.961Z</dcterms:modified>
</cp:coreProperties>
</file>

<file path=docProps/custom.xml><?xml version="1.0" encoding="utf-8"?>
<Properties xmlns="http://schemas.openxmlformats.org/officeDocument/2006/custom-properties" xmlns:vt="http://schemas.openxmlformats.org/officeDocument/2006/docPropsVTypes"/>
</file>