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Denta</w:t>
      </w:r>
      <w:r>
        <w:rPr>
          <w:rFonts w:ascii="Calibri" w:cs="Calibri" w:eastAsia="Calibri" w:hAnsi="Calibri"/>
          <w:b/>
          <w:bCs/>
          <w:color w:val="5B2FB5"/>
          <w:sz w:val="30"/>
          <w:szCs w:val="30"/>
        </w:rPr>
        <w:t xml:space="preserve">Scale</w:t>
      </w:r>
    </w:p>
    <w:p>
      <w:pPr>
        <w:pBdr>
          <w:bottom w:val="single" w:color="1A1A1A" w:sz="12" w:space="8"/>
        </w:pBdr>
        <w:spacing w:after="290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Account Access Guide</w:t>
      </w:r>
    </w:p>
    <w:p>
      <w:pPr>
        <w:spacing w:after="20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guide walks through everything we need access to before campaigns can go live. It usually takes about 20 minutes. You keep ownership of every account throughout — we are added as a user and can be removed at any time.</w:t>
      </w:r>
    </w:p>
    <w:p>
      <w:pPr>
        <w:spacing w:after="60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Send anything you get stuck on to keyhan@dentascale.net and we will walk through it together, or over a screen share if that is easier.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Meta Business Manager (required)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covers your Facebook Page, Instagram account, and ad account. It is the only item we cannot launch without.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5B2FB5"/>
          <w:sz w:val="22"/>
          <w:szCs w:val="22"/>
        </w:rPr>
        <w:t xml:space="preserve">If you already have a Business Manager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 to business.facebook.com and sign in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Settings (gear icon, bottom left) → Users → People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Invite people and enter keyhan@dentascale.net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Under Assign assets, select your Facebook Page, Instagram account, and ad account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For each, grant Full control, then click Invite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5B2FB5"/>
          <w:sz w:val="22"/>
          <w:szCs w:val="22"/>
        </w:rPr>
        <w:t xml:space="preserve">If you do not have one yet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Let us know and we will set one up for you and transfer ownership to you once it is created. This takes about 10 minutes on a call.</w:t>
      </w:r>
    </w:p>
    <w:p>
      <w:pPr>
        <w:spacing w:after="135" w:line="276"/>
      </w:pPr>
      <w:r>
        <w:rPr>
          <w:rFonts w:ascii="Calibri" w:cs="Calibri" w:eastAsia="Calibri" w:hAnsi="Calibri"/>
          <w:color w:val="666666"/>
          <w:sz w:val="21"/>
          <w:szCs w:val="21"/>
        </w:rPr>
        <w:t xml:space="preserve">Why full control: partial access prevents us from creating ads, adjusting budgets, or installing tracking, which are the core of the work.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Instagram account (required)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Your Instagram must be a Business or Creator account and connected to your Facebook Page. To check: open Instagram → Settings → Account type and tools.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it is currently a Personal account, switching is free and takes about a minute. It does not change your followers, posts, or handle.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Website access (recommended)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need to install a small tracking pixel so we can tell which ads produce leads. Without it we are advertising blind.</w:t>
      </w:r>
    </w:p>
    <w:p>
      <w:pPr>
        <w:pStyle w:val="ListParagraph"/>
        <w:numPr>
          <w:ilvl w:val="0"/>
          <w:numId w:val="3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WordPress: add keyhan@dentascale.net as an Administrator</w:t>
      </w:r>
    </w:p>
    <w:p>
      <w:pPr>
        <w:pStyle w:val="ListParagraph"/>
        <w:numPr>
          <w:ilvl w:val="0"/>
          <w:numId w:val="3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Squarespace, Wix, or similar: add us as a contributor with admin rights</w:t>
      </w:r>
    </w:p>
    <w:p>
      <w:pPr>
        <w:pStyle w:val="ListParagraph"/>
        <w:numPr>
          <w:ilvl w:val="0"/>
          <w:numId w:val="3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a third party manages your website: send us their contact and we will coordinate directly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Google Business Profile (recommended)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 to business.google.com and sign in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Select your practice location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Settings → Managers → Add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Enter keyhan@dentascale.net and select Manager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Google Ads (only if you're on the Meta + Google plan)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Sign in at ads.google.com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Admin → Access and security → the plus button</w:t>
      </w:r>
    </w:p>
    <w:p>
      <w:pPr>
        <w:pStyle w:val="ListParagraph"/>
        <w:numPr>
          <w:ilvl w:val="0"/>
          <w:numId w:val="2"/>
        </w:numPr>
        <w:spacing w:after="75" w:line="27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Enter keyhan@dentascale.net and select Standard access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Where leads go, and your consultation calendar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call every lead and book them into your calendar, so we need to see it. Share your scheduling software with us, or tell us how you prefer to handle it: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Email address for lead notifications: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Mobile number for text alerts (optional):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spacing w:after="1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Scheduling or calendar software (we will book consults into it):  </w:t>
      </w:r>
      <w:r>
        <w:rPr>
          <w:rFonts w:ascii="Calibri" w:cs="Calibri" w:eastAsia="Calibri" w:hAnsi="Calibri"/>
          <w:color w:val="666666"/>
          <w:sz w:val="21"/>
          <w:szCs w:val="21"/>
        </w:rPr>
        <w:t xml:space="preserve">_____________________________________________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A note on security</w:t>
      </w:r>
    </w:p>
    <w:p>
      <w:pPr>
        <w:spacing w:after="135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Please never email us a password. Every step above adds us as a separate user under your own account, which is safer for you and means access can be revoked instantly without changing any of your own logins.</w:t>
      </w:r>
    </w:p>
    <w:p>
      <w:pPr>
        <w:spacing w:before="320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DentaScale  ·  310-694-7875  ·  keyhan@dentascale.net  ·  dentascale.net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2026-08-31T22:40:57.142Z</dcterms:created>
  <dcterms:modified xsi:type="dcterms:W3CDTF">2026-08-31T22:40:57.142Z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