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Denta</w:t>
      </w:r>
      <w:r>
        <w:rPr>
          <w:rFonts w:ascii="Calibri" w:cs="Calibri" w:eastAsia="Calibri" w:hAnsi="Calibri"/>
          <w:b/>
          <w:bCs/>
          <w:color w:val="5B2FB5"/>
          <w:sz w:val="30"/>
          <w:szCs w:val="30"/>
        </w:rPr>
        <w:t xml:space="preserve">Scale</w:t>
      </w:r>
    </w:p>
    <w:p>
      <w:pPr>
        <w:pBdr>
          <w:bottom w:val="single" w:color="1A1A1A" w:sz="12" w:space="8"/>
        </w:pBdr>
        <w:spacing w:after="290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Kickoff Checklist (internal)</w:t>
      </w:r>
    </w:p>
    <w:p>
      <w:pPr>
        <w:spacing w:after="220" w:line="276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Internal checklist. Target: campaigns live within 7 days of the signed agreement. Note there is no invoice at signing — the first invoice goes out at lead 30.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Day 0 — agreement signed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Countersign and send a copy back to the client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Send the access guide and the onboarding questionnaire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Add the practice to the Notion tracker and set status to Onboarding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Book the kickoff call and the content shoot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Confirm the client understands the $50/day ad spend commitment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Days 1–2 — access and intake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Confirm Business Manager access received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Confirm Instagram is a Business account and linked to the Page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Install the Meta pixel and verify it fires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Confirm Google Business Profile access, if applicable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Review the completed questionnaire and note gaps for the kickoff call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Confirm where leads should be delivered and test the notification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Days 2–3 — kickoff call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Agree the offer to run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Confirm the daily budget is set to at least $50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Walk the front desk through the Lead-to-Chair System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Confirm the shoot date, location, and who will be on camera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Days 3–4 — content shoot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Shoot footage against the agreed shot list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Collect before-and-after images with written patient consent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Edit into first-round ad creative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Days 4–6 — funnel build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Build the landing page and lead capture form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Add the practice's reviews and social proof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Test the full path: ad click through to lead notification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Days 6–7 — launch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Write ad copy and build the campaign structure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Client approves creative and copy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Launch, and confirm delivery within 24 hours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Set status to Active and diarise the first weekly report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Tracking to lead 30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Log lead count weekly against the 30-lead invoice trigger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Flag immediately if daily spend drops below $50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 lead 30: send the first invoice and start the monthly billing cycle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If day 60 approaches without 30 leads, review with the client before it lapses</w:t>
      </w:r>
    </w:p>
    <w:p>
      <w:pPr>
        <w:spacing w:before="320"/>
      </w:pPr>
      <w:r>
        <w:rPr>
          <w:rFonts w:ascii="Calibri" w:cs="Calibri" w:eastAsia="Calibri" w:hAnsi="Calibri"/>
          <w:color w:val="666666"/>
          <w:sz w:val="17"/>
          <w:szCs w:val="17"/>
        </w:rPr>
        <w:t xml:space="preserve">DentaScale  ·  310-694-7875  ·  keyhan@dentascale.net  ·  dentascale.net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2026-08-31T22:40:57.148Z</dcterms:created>
  <dcterms:modified xsi:type="dcterms:W3CDTF">2026-08-31T22:40:57.148Z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