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A1A1A"/>
          <w:sz w:val="30"/>
          <w:szCs w:val="30"/>
        </w:rPr>
        <w:t xml:space="preserve">Denta</w:t>
      </w:r>
      <w:r>
        <w:rPr>
          <w:rFonts w:ascii="Calibri" w:cs="Calibri" w:eastAsia="Calibri" w:hAnsi="Calibri"/>
          <w:b/>
          <w:bCs/>
          <w:color w:val="5B2FB5"/>
          <w:sz w:val="30"/>
          <w:szCs w:val="30"/>
        </w:rPr>
        <w:t xml:space="preserve">Scale</w:t>
      </w:r>
    </w:p>
    <w:p>
      <w:pPr>
        <w:pBdr>
          <w:bottom w:val="single" w:color="1A1A1A" w:sz="12" w:space="8"/>
        </w:pBdr>
        <w:spacing w:after="300"/>
      </w:pPr>
      <w:r>
        <w:rPr>
          <w:rFonts w:ascii="Calibri" w:cs="Calibri" w:eastAsia="Calibri" w:hAnsi="Calibri"/>
          <w:color w:val="666666"/>
          <w:sz w:val="21"/>
          <w:szCs w:val="21"/>
        </w:rPr>
        <w:t xml:space="preserve">Marketing Services Agreement</w:t>
      </w:r>
    </w:p>
    <w:p>
      <w:pPr>
        <w:spacing w:after="200" w:line="276"/>
      </w:pPr>
      <w:r>
        <w:rPr>
          <w:rFonts w:ascii="Calibri" w:cs="Calibri" w:eastAsia="Calibri" w:hAnsi="Calibri"/>
          <w:color w:val="1A1A1A"/>
          <w:sz w:val="21"/>
          <w:szCs w:val="21"/>
        </w:rPr>
        <w:t xml:space="preserve">This Agreement is entered into as of the date signed below, between:</w:t>
      </w:r>
    </w:p>
    <w:p>
      <w:pPr>
        <w:spacing w:after="200"/>
      </w:pPr>
      <w:r>
        <w:rPr>
          <w:rFonts w:ascii="Calibri" w:cs="Calibri" w:eastAsia="Calibri" w:hAnsi="Calibri"/>
          <w:color w:val="1A1A1A"/>
          <w:sz w:val="21"/>
          <w:szCs w:val="21"/>
        </w:rPr>
        <w:t xml:space="preserve">Practice (“Client”):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Address: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Primary contact &amp; email:  </w:t>
      </w:r>
      <w:r>
        <w:rPr>
          <w:rFonts w:ascii="Calibri" w:cs="Calibri" w:eastAsia="Calibri" w:hAnsi="Calibri"/>
          <w:color w:val="666666"/>
          <w:sz w:val="21"/>
          <w:szCs w:val="21"/>
        </w:rPr>
        <w:t xml:space="preserve">______________________________________________</w:t>
      </w:r>
    </w:p>
    <w:p>
      <w:pPr>
        <w:spacing w:after="140" w:line="276"/>
      </w:pPr>
      <w:r>
        <w:rPr>
          <w:rFonts w:ascii="Calibri" w:cs="Calibri" w:eastAsia="Calibri" w:hAnsi="Calibri"/>
          <w:color w:val="1A1A1A"/>
          <w:sz w:val="21"/>
          <w:szCs w:val="21"/>
        </w:rPr>
        <w:t xml:space="preserve">and DentaScale, Los Angeles, California (“DentaScale”).</w:t>
      </w:r>
    </w:p>
    <w:p>
      <w:pPr>
        <w:pBdr>
          <w:bottom w:val="single" w:color="CCCCCC" w:sz="6" w:space="6"/>
        </w:pBdr>
        <w:spacing w:after="200" w:before="200"/>
      </w:pPr>
      <w:r>
        <w:rPr>
          <w:sz w:val="2"/>
          <w:szCs w:val="2"/>
        </w:rPr>
        <w:t xml:space="preserve"/>
      </w:r>
    </w:p>
    <w:p>
      <w:pPr>
        <w:pStyle w:val="Heading1"/>
        <w:spacing w:after="160" w:before="360"/>
      </w:pPr>
      <w:r>
        <w:rPr>
          <w:rFonts w:ascii="Calibri" w:cs="Calibri" w:eastAsia="Calibri" w:hAnsi="Calibri"/>
          <w:b/>
          <w:bCs/>
          <w:color w:val="1A1A1A"/>
          <w:sz w:val="26"/>
          <w:szCs w:val="26"/>
        </w:rPr>
        <w:t xml:space="preserve">1. Services</w:t>
      </w:r>
    </w:p>
    <w:p>
      <w:pPr>
        <w:spacing w:after="140" w:line="276"/>
      </w:pPr>
      <w:r>
        <w:rPr>
          <w:rFonts w:ascii="Calibri" w:cs="Calibri" w:eastAsia="Calibri" w:hAnsi="Calibri"/>
          <w:color w:val="1A1A1A"/>
          <w:sz w:val="21"/>
          <w:szCs w:val="21"/>
        </w:rPr>
        <w:t xml:space="preserve">DentaScale will provide the following:</w:t>
      </w:r>
    </w:p>
    <w:p>
      <w:pPr>
        <w:pStyle w:val="ListParagraph"/>
        <w:numPr>
          <w:ilvl w:val="0"/>
          <w:numId w:val="2"/>
        </w:numPr>
        <w:spacing w:after="80" w:line="276"/>
      </w:pPr>
      <w:r>
        <w:rPr>
          <w:rFonts w:ascii="Calibri" w:cs="Calibri" w:eastAsia="Calibri" w:hAnsi="Calibri"/>
          <w:color w:val="1A1A1A"/>
          <w:sz w:val="21"/>
          <w:szCs w:val="21"/>
        </w:rPr>
        <w:t xml:space="preserve">A content shoot at the Client’s practice, and editing of that footage into advertising creative</w:t>
      </w:r>
    </w:p>
    <w:p>
      <w:pPr>
        <w:pStyle w:val="ListParagraph"/>
        <w:numPr>
          <w:ilvl w:val="0"/>
          <w:numId w:val="2"/>
        </w:numPr>
        <w:spacing w:after="80" w:line="276"/>
      </w:pPr>
      <w:r>
        <w:rPr>
          <w:rFonts w:ascii="Calibri" w:cs="Calibri" w:eastAsia="Calibri" w:hAnsi="Calibri"/>
          <w:color w:val="1A1A1A"/>
          <w:sz w:val="21"/>
          <w:szCs w:val="21"/>
        </w:rPr>
        <w:t xml:space="preserve">Ad copy and creative direction</w:t>
      </w:r>
    </w:p>
    <w:p>
      <w:pPr>
        <w:pStyle w:val="ListParagraph"/>
        <w:numPr>
          <w:ilvl w:val="0"/>
          <w:numId w:val="2"/>
        </w:numPr>
        <w:spacing w:after="80" w:line="276"/>
      </w:pPr>
      <w:r>
        <w:rPr>
          <w:rFonts w:ascii="Calibri" w:cs="Calibri" w:eastAsia="Calibri" w:hAnsi="Calibri"/>
          <w:color w:val="1A1A1A"/>
          <w:sz w:val="21"/>
          <w:szCs w:val="21"/>
        </w:rPr>
        <w:t xml:space="preserve">A booking funnel (landing page and lead capture forms) built for the Client’s campaigns</w:t>
      </w:r>
    </w:p>
    <w:p>
      <w:pPr>
        <w:pStyle w:val="ListParagraph"/>
        <w:numPr>
          <w:ilvl w:val="0"/>
          <w:numId w:val="2"/>
        </w:numPr>
        <w:spacing w:after="80" w:line="276"/>
      </w:pPr>
      <w:r>
        <w:rPr>
          <w:rFonts w:ascii="Calibri" w:cs="Calibri" w:eastAsia="Calibri" w:hAnsi="Calibri"/>
          <w:color w:val="1A1A1A"/>
          <w:sz w:val="21"/>
          <w:szCs w:val="21"/>
        </w:rPr>
        <w:t xml:space="preserve">Setup, launch, and ongoing daily optimization of paid social advertising campaigns</w:t>
      </w:r>
    </w:p>
    <w:p>
      <w:pPr>
        <w:pStyle w:val="ListParagraph"/>
        <w:numPr>
          <w:ilvl w:val="0"/>
          <w:numId w:val="2"/>
        </w:numPr>
        <w:spacing w:after="80" w:line="276"/>
      </w:pPr>
      <w:r>
        <w:rPr>
          <w:rFonts w:ascii="Calibri" w:cs="Calibri" w:eastAsia="Calibri" w:hAnsi="Calibri"/>
          <w:color w:val="1A1A1A"/>
          <w:sz w:val="21"/>
          <w:szCs w:val="21"/>
        </w:rPr>
        <w:t xml:space="preserve">The Lead-to-Chair System (call scripts, follow-up templates, and a no-show checklist)</w:t>
      </w:r>
    </w:p>
    <w:p>
      <w:pPr>
        <w:pStyle w:val="ListParagraph"/>
        <w:numPr>
          <w:ilvl w:val="0"/>
          <w:numId w:val="2"/>
        </w:numPr>
        <w:spacing w:after="80" w:line="276"/>
      </w:pPr>
      <w:r>
        <w:rPr>
          <w:rFonts w:ascii="Calibri" w:cs="Calibri" w:eastAsia="Calibri" w:hAnsi="Calibri"/>
          <w:color w:val="1A1A1A"/>
          <w:sz w:val="21"/>
          <w:szCs w:val="21"/>
        </w:rPr>
        <w:t xml:space="preserve">Weekly written performance reporting</w:t>
      </w:r>
    </w:p>
    <w:p>
      <w:pPr>
        <w:pStyle w:val="Heading1"/>
        <w:spacing w:after="160" w:before="360"/>
      </w:pPr>
      <w:r>
        <w:rPr>
          <w:rFonts w:ascii="Calibri" w:cs="Calibri" w:eastAsia="Calibri" w:hAnsi="Calibri"/>
          <w:b/>
          <w:bCs/>
          <w:color w:val="1A1A1A"/>
          <w:sz w:val="26"/>
          <w:szCs w:val="26"/>
        </w:rPr>
        <w:t xml:space="preserve">2. Fees</w:t>
      </w:r>
    </w:p>
    <w:p>
      <w:pPr>
        <w:spacing w:after="140" w:line="276"/>
      </w:pPr>
      <w:r>
        <w:rPr>
          <w:rFonts w:ascii="Calibri" w:cs="Calibri" w:eastAsia="Calibri" w:hAnsi="Calibri"/>
          <w:color w:val="1A1A1A"/>
          <w:sz w:val="21"/>
          <w:szCs w:val="21"/>
        </w:rPr>
        <w:t xml:space="preserve">The monthly fee is $1,000 for campaigns on one platform (Meta). Two platforms are $2,000 per month and three are $3,000 per month.</w:t>
      </w:r>
    </w:p>
    <w:p>
      <w:pPr>
        <w:spacing w:after="140" w:line="276"/>
      </w:pPr>
      <w:r>
        <w:rPr>
          <w:rFonts w:ascii="Calibri" w:cs="Calibri" w:eastAsia="Calibri" w:hAnsi="Calibri"/>
          <w:color w:val="1A1A1A"/>
          <w:sz w:val="21"/>
          <w:szCs w:val="21"/>
        </w:rPr>
        <w:t xml:space="preserve">The fee is due in advance on the same calendar day each month, beginning on the Start Date. Invoices are payable within 7 days of issue.</w:t>
      </w:r>
    </w:p>
    <w:p>
      <w:pPr>
        <w:pStyle w:val="Heading1"/>
        <w:spacing w:after="160" w:before="360"/>
      </w:pPr>
      <w:r>
        <w:rPr>
          <w:rFonts w:ascii="Calibri" w:cs="Calibri" w:eastAsia="Calibri" w:hAnsi="Calibri"/>
          <w:b/>
          <w:bCs/>
          <w:color w:val="1A1A1A"/>
          <w:sz w:val="26"/>
          <w:szCs w:val="26"/>
        </w:rPr>
        <w:t xml:space="preserve">3. First-month lead guarantee</w:t>
      </w:r>
    </w:p>
    <w:p>
      <w:pPr>
        <w:spacing w:after="140" w:line="276"/>
      </w:pPr>
      <w:r>
        <w:rPr>
          <w:rFonts w:ascii="Calibri" w:cs="Calibri" w:eastAsia="Calibri" w:hAnsi="Calibri"/>
          <w:b/>
          <w:bCs/>
          <w:color w:val="1A1A1A"/>
          <w:sz w:val="21"/>
          <w:szCs w:val="21"/>
        </w:rPr>
        <w:t xml:space="preserve">If DentaScale does not deliver at least 25 qualified leads during the Client’s first month of active advertising, the Client’s second month of service fees is waived. The Client remains responsible for advertising spend in that month.</w:t>
      </w:r>
    </w:p>
    <w:p>
      <w:pPr>
        <w:spacing w:after="140" w:line="276"/>
      </w:pPr>
      <w:r>
        <w:rPr>
          <w:rFonts w:ascii="Calibri" w:cs="Calibri" w:eastAsia="Calibri" w:hAnsi="Calibri"/>
          <w:color w:val="1A1A1A"/>
          <w:sz w:val="21"/>
          <w:szCs w:val="21"/>
        </w:rPr>
        <w:t xml:space="preserve">For the purposes of this Agreement, a “qualified lead” means an individual who: (a) submits their contact details through a campaign run by DentaScale for the Client; (b) is located within the Client’s stated service area; and (c) enquires about a treatment the Client offers. Lead count is measured in the advertising platform’s reporting together with the campaign’s lead records, which both parties accept as the record.</w:t>
      </w:r>
    </w:p>
    <w:p>
      <w:pPr>
        <w:spacing w:after="80" w:line="276"/>
      </w:pPr>
      <w:r>
        <w:rPr>
          <w:rFonts w:ascii="Calibri" w:cs="Calibri" w:eastAsia="Calibri" w:hAnsi="Calibri"/>
          <w:b/>
          <w:bCs/>
          <w:color w:val="1A1A1A"/>
          <w:sz w:val="21"/>
          <w:szCs w:val="21"/>
        </w:rPr>
        <w:t xml:space="preserve">The guarantee is conditional on all of the following:</w:t>
      </w:r>
    </w:p>
    <w:p>
      <w:pPr>
        <w:pStyle w:val="ListParagraph"/>
        <w:numPr>
          <w:ilvl w:val="0"/>
          <w:numId w:val="2"/>
        </w:numPr>
        <w:spacing w:after="80" w:line="276"/>
      </w:pPr>
      <w:r>
        <w:rPr>
          <w:rFonts w:ascii="Calibri" w:cs="Calibri" w:eastAsia="Calibri" w:hAnsi="Calibri"/>
          <w:color w:val="1A1A1A"/>
          <w:sz w:val="21"/>
          <w:szCs w:val="21"/>
        </w:rPr>
        <w:t xml:space="preserve">The Client maintains advertising spend of at least $50 per day for the full month</w:t>
      </w:r>
    </w:p>
    <w:p>
      <w:pPr>
        <w:pStyle w:val="ListParagraph"/>
        <w:numPr>
          <w:ilvl w:val="0"/>
          <w:numId w:val="2"/>
        </w:numPr>
        <w:spacing w:after="80" w:line="276"/>
      </w:pPr>
      <w:r>
        <w:rPr>
          <w:rFonts w:ascii="Calibri" w:cs="Calibri" w:eastAsia="Calibri" w:hAnsi="Calibri"/>
          <w:color w:val="1A1A1A"/>
          <w:sz w:val="21"/>
          <w:szCs w:val="21"/>
        </w:rPr>
        <w:t xml:space="preserve">Campaigns run for a continuous period of at least 30 days without being paused at the Client’s request</w:t>
      </w:r>
    </w:p>
    <w:p>
      <w:pPr>
        <w:pStyle w:val="ListParagraph"/>
        <w:numPr>
          <w:ilvl w:val="0"/>
          <w:numId w:val="2"/>
        </w:numPr>
        <w:spacing w:after="80" w:line="276"/>
      </w:pPr>
      <w:r>
        <w:rPr>
          <w:rFonts w:ascii="Calibri" w:cs="Calibri" w:eastAsia="Calibri" w:hAnsi="Calibri"/>
          <w:color w:val="1A1A1A"/>
          <w:sz w:val="21"/>
          <w:szCs w:val="21"/>
        </w:rPr>
        <w:t xml:space="preserve">The Client provides account access and any requested materials within 5 business days of the Start Date</w:t>
      </w:r>
    </w:p>
    <w:p>
      <w:pPr>
        <w:pStyle w:val="ListParagraph"/>
        <w:numPr>
          <w:ilvl w:val="0"/>
          <w:numId w:val="2"/>
        </w:numPr>
        <w:spacing w:after="80" w:line="276"/>
      </w:pPr>
      <w:r>
        <w:rPr>
          <w:rFonts w:ascii="Calibri" w:cs="Calibri" w:eastAsia="Calibri" w:hAnsi="Calibri"/>
          <w:color w:val="1A1A1A"/>
          <w:sz w:val="21"/>
          <w:szCs w:val="21"/>
        </w:rPr>
        <w:t xml:space="preserve">The Client does not materially change the agreed offer mid-month without DentaScale’s agreement</w:t>
      </w:r>
    </w:p>
    <w:p>
      <w:pPr>
        <w:spacing w:after="140" w:line="276"/>
      </w:pPr>
      <w:r>
        <w:rPr>
          <w:rFonts w:ascii="Calibri" w:cs="Calibri" w:eastAsia="Calibri" w:hAnsi="Calibri"/>
          <w:color w:val="1A1A1A"/>
          <w:sz w:val="21"/>
          <w:szCs w:val="21"/>
        </w:rPr>
        <w:t xml:space="preserve">The guarantee relates to lead volume only. DentaScale does not guarantee that any lead will book an appointment, attend an appointment, or accept treatment, as those outcomes depend on the Client’s own follow-up and practice operations.</w:t>
      </w:r>
    </w:p>
    <w:p>
      <w:pPr>
        <w:pStyle w:val="Heading1"/>
        <w:spacing w:after="160" w:before="360"/>
      </w:pPr>
      <w:r>
        <w:rPr>
          <w:rFonts w:ascii="Calibri" w:cs="Calibri" w:eastAsia="Calibri" w:hAnsi="Calibri"/>
          <w:b/>
          <w:bCs/>
          <w:color w:val="1A1A1A"/>
          <w:sz w:val="26"/>
          <w:szCs w:val="26"/>
        </w:rPr>
        <w:t xml:space="preserve">4. Advertising spend</w:t>
      </w:r>
    </w:p>
    <w:p>
      <w:pPr>
        <w:spacing w:after="140" w:line="276"/>
      </w:pPr>
      <w:r>
        <w:rPr>
          <w:rFonts w:ascii="Calibri" w:cs="Calibri" w:eastAsia="Calibri" w:hAnsi="Calibri"/>
          <w:color w:val="1A1A1A"/>
          <w:sz w:val="21"/>
          <w:szCs w:val="21"/>
        </w:rPr>
        <w:t xml:space="preserve">Advertising spend is separate from DentaScale’s fee and is paid by the Client directly to the advertising platforms. DentaScale does not handle, hold, or invoice advertising spend.</w:t>
      </w:r>
    </w:p>
    <w:p>
      <w:pPr>
        <w:spacing w:after="140" w:line="276"/>
      </w:pPr>
      <w:r>
        <w:rPr>
          <w:rFonts w:ascii="Calibri" w:cs="Calibri" w:eastAsia="Calibri" w:hAnsi="Calibri"/>
          <w:color w:val="1A1A1A"/>
          <w:sz w:val="21"/>
          <w:szCs w:val="21"/>
        </w:rPr>
        <w:t xml:space="preserve">The Client agrees to maintain advertising spend of at least $50 per day. Raising the budget above this level does not change DentaScale’s fee.</w:t>
      </w:r>
    </w:p>
    <w:p>
      <w:pPr>
        <w:pStyle w:val="Heading1"/>
        <w:spacing w:after="160" w:before="360"/>
      </w:pPr>
      <w:r>
        <w:rPr>
          <w:rFonts w:ascii="Calibri" w:cs="Calibri" w:eastAsia="Calibri" w:hAnsi="Calibri"/>
          <w:b/>
          <w:bCs/>
          <w:color w:val="1A1A1A"/>
          <w:sz w:val="26"/>
          <w:szCs w:val="26"/>
        </w:rPr>
        <w:t xml:space="preserve">5. Term and cancellation</w:t>
      </w:r>
    </w:p>
    <w:p>
      <w:pPr>
        <w:spacing w:after="140" w:line="276"/>
      </w:pPr>
      <w:r>
        <w:rPr>
          <w:rFonts w:ascii="Calibri" w:cs="Calibri" w:eastAsia="Calibri" w:hAnsi="Calibri"/>
          <w:color w:val="1A1A1A"/>
          <w:sz w:val="21"/>
          <w:szCs w:val="21"/>
        </w:rPr>
        <w:t xml:space="preserve">This Agreement runs month to month. There is no minimum term.</w:t>
      </w:r>
    </w:p>
    <w:p>
      <w:pPr>
        <w:spacing w:after="140" w:line="276"/>
      </w:pPr>
      <w:r>
        <w:rPr>
          <w:rFonts w:ascii="Calibri" w:cs="Calibri" w:eastAsia="Calibri" w:hAnsi="Calibri"/>
          <w:color w:val="1A1A1A"/>
          <w:sz w:val="21"/>
          <w:szCs w:val="21"/>
        </w:rPr>
        <w:t xml:space="preserve">Either party may cancel by giving written notice (email is sufficient) at least 7 days before the next billing date. Fees already paid for the current month are non-refundable, and DentaScale will complete the month in full.</w:t>
      </w:r>
    </w:p>
    <w:p>
      <w:pPr>
        <w:spacing w:after="140" w:line="276"/>
      </w:pPr>
      <w:r>
        <w:rPr>
          <w:rFonts w:ascii="Calibri" w:cs="Calibri" w:eastAsia="Calibri" w:hAnsi="Calibri"/>
          <w:color w:val="1A1A1A"/>
          <w:sz w:val="21"/>
          <w:szCs w:val="21"/>
        </w:rPr>
        <w:t xml:space="preserve">On cancellation, DentaScale will return control of any advertising accounts it created on the Client’s behalf and remove its own access within 5 business days.</w:t>
      </w:r>
    </w:p>
    <w:p>
      <w:pPr>
        <w:pStyle w:val="Heading1"/>
        <w:spacing w:after="160" w:before="360"/>
      </w:pPr>
      <w:r>
        <w:rPr>
          <w:rFonts w:ascii="Calibri" w:cs="Calibri" w:eastAsia="Calibri" w:hAnsi="Calibri"/>
          <w:b/>
          <w:bCs/>
          <w:color w:val="1A1A1A"/>
          <w:sz w:val="26"/>
          <w:szCs w:val="26"/>
        </w:rPr>
        <w:t xml:space="preserve">6. Client responsibilities</w:t>
      </w:r>
    </w:p>
    <w:p>
      <w:pPr>
        <w:pStyle w:val="ListParagraph"/>
        <w:numPr>
          <w:ilvl w:val="0"/>
          <w:numId w:val="2"/>
        </w:numPr>
        <w:spacing w:after="80" w:line="276"/>
      </w:pPr>
      <w:r>
        <w:rPr>
          <w:rFonts w:ascii="Calibri" w:cs="Calibri" w:eastAsia="Calibri" w:hAnsi="Calibri"/>
          <w:color w:val="1A1A1A"/>
          <w:sz w:val="21"/>
          <w:szCs w:val="21"/>
        </w:rPr>
        <w:t xml:space="preserve">Provide account access as set out in the onboarding access guide within 5 business days</w:t>
      </w:r>
    </w:p>
    <w:p>
      <w:pPr>
        <w:pStyle w:val="ListParagraph"/>
        <w:numPr>
          <w:ilvl w:val="0"/>
          <w:numId w:val="2"/>
        </w:numPr>
        <w:spacing w:after="80" w:line="276"/>
      </w:pPr>
      <w:r>
        <w:rPr>
          <w:rFonts w:ascii="Calibri" w:cs="Calibri" w:eastAsia="Calibri" w:hAnsi="Calibri"/>
          <w:color w:val="1A1A1A"/>
          <w:sz w:val="21"/>
          <w:szCs w:val="21"/>
        </w:rPr>
        <w:t xml:space="preserve">Maintain advertising spend of at least $50 per day</w:t>
      </w:r>
    </w:p>
    <w:p>
      <w:pPr>
        <w:pStyle w:val="ListParagraph"/>
        <w:numPr>
          <w:ilvl w:val="0"/>
          <w:numId w:val="2"/>
        </w:numPr>
        <w:spacing w:after="80" w:line="276"/>
      </w:pPr>
      <w:r>
        <w:rPr>
          <w:rFonts w:ascii="Calibri" w:cs="Calibri" w:eastAsia="Calibri" w:hAnsi="Calibri"/>
          <w:color w:val="1A1A1A"/>
          <w:sz w:val="21"/>
          <w:szCs w:val="21"/>
        </w:rPr>
        <w:t xml:space="preserve">Provide reasonable access for the content shoot and approve creative without undue delay</w:t>
      </w:r>
    </w:p>
    <w:p>
      <w:pPr>
        <w:pStyle w:val="ListParagraph"/>
        <w:numPr>
          <w:ilvl w:val="0"/>
          <w:numId w:val="2"/>
        </w:numPr>
        <w:spacing w:after="80" w:line="276"/>
      </w:pPr>
      <w:r>
        <w:rPr>
          <w:rFonts w:ascii="Calibri" w:cs="Calibri" w:eastAsia="Calibri" w:hAnsi="Calibri"/>
          <w:color w:val="1A1A1A"/>
          <w:sz w:val="21"/>
          <w:szCs w:val="21"/>
        </w:rPr>
        <w:t xml:space="preserve">Respond to leads promptly — speed of response materially affects results</w:t>
      </w:r>
    </w:p>
    <w:p>
      <w:pPr>
        <w:pStyle w:val="ListParagraph"/>
        <w:numPr>
          <w:ilvl w:val="0"/>
          <w:numId w:val="2"/>
        </w:numPr>
        <w:spacing w:after="80" w:line="276"/>
      </w:pPr>
      <w:r>
        <w:rPr>
          <w:rFonts w:ascii="Calibri" w:cs="Calibri" w:eastAsia="Calibri" w:hAnsi="Calibri"/>
          <w:color w:val="1A1A1A"/>
          <w:sz w:val="21"/>
          <w:szCs w:val="21"/>
        </w:rPr>
        <w:t xml:space="preserve">Ensure all claims about the practice, its services, and its credentials are accurate and compliant with applicable dental advertising rules</w:t>
      </w:r>
    </w:p>
    <w:p>
      <w:pPr>
        <w:pStyle w:val="Heading1"/>
        <w:spacing w:after="160" w:before="360"/>
      </w:pPr>
      <w:r>
        <w:rPr>
          <w:rFonts w:ascii="Calibri" w:cs="Calibri" w:eastAsia="Calibri" w:hAnsi="Calibri"/>
          <w:b/>
          <w:bCs/>
          <w:color w:val="1A1A1A"/>
          <w:sz w:val="26"/>
          <w:szCs w:val="26"/>
        </w:rPr>
        <w:t xml:space="preserve">7. Content, ownership, and usage</w:t>
      </w:r>
    </w:p>
    <w:p>
      <w:pPr>
        <w:spacing w:after="140" w:line="276"/>
      </w:pPr>
      <w:r>
        <w:rPr>
          <w:rFonts w:ascii="Calibri" w:cs="Calibri" w:eastAsia="Calibri" w:hAnsi="Calibri"/>
          <w:color w:val="1A1A1A"/>
          <w:sz w:val="21"/>
          <w:szCs w:val="21"/>
        </w:rPr>
        <w:t xml:space="preserve">Advertising creative, copy, campaign structures, and the booking funnel produced under this Agreement become the property of the Client on payment of the relevant month’s fee.</w:t>
      </w:r>
    </w:p>
    <w:p>
      <w:pPr>
        <w:spacing w:after="140" w:line="276"/>
      </w:pPr>
      <w:r>
        <w:rPr>
          <w:rFonts w:ascii="Calibri" w:cs="Calibri" w:eastAsia="Calibri" w:hAnsi="Calibri"/>
          <w:color w:val="1A1A1A"/>
          <w:sz w:val="21"/>
          <w:szCs w:val="21"/>
        </w:rPr>
        <w:t xml:space="preserve">DentaScale retains ownership of its own underlying templates, systems, and methods, including the Lead-to-Chair System, which is licensed to the Client for internal use only.</w:t>
      </w:r>
    </w:p>
    <w:p>
      <w:pPr>
        <w:spacing w:after="140" w:line="276"/>
      </w:pPr>
      <w:r>
        <w:rPr>
          <w:rFonts w:ascii="Calibri" w:cs="Calibri" w:eastAsia="Calibri" w:hAnsi="Calibri"/>
          <w:color w:val="1A1A1A"/>
          <w:sz w:val="21"/>
          <w:szCs w:val="21"/>
        </w:rPr>
        <w:t xml:space="preserve">DentaScale may reference the Client’s name, logo, and campaign results in its portfolio and marketing materials. The Client may withdraw this permission at any time by written notice.</w:t>
      </w:r>
    </w:p>
    <w:p>
      <w:pPr>
        <w:pStyle w:val="Heading1"/>
        <w:spacing w:after="160" w:before="360"/>
      </w:pPr>
      <w:r>
        <w:rPr>
          <w:rFonts w:ascii="Calibri" w:cs="Calibri" w:eastAsia="Calibri" w:hAnsi="Calibri"/>
          <w:b/>
          <w:bCs/>
          <w:color w:val="1A1A1A"/>
          <w:sz w:val="26"/>
          <w:szCs w:val="26"/>
        </w:rPr>
        <w:t xml:space="preserve">8. Confidentiality and data</w:t>
      </w:r>
    </w:p>
    <w:p>
      <w:pPr>
        <w:spacing w:after="140" w:line="276"/>
      </w:pPr>
      <w:r>
        <w:rPr>
          <w:rFonts w:ascii="Calibri" w:cs="Calibri" w:eastAsia="Calibri" w:hAnsi="Calibri"/>
          <w:color w:val="1A1A1A"/>
          <w:sz w:val="21"/>
          <w:szCs w:val="21"/>
        </w:rPr>
        <w:t xml:space="preserve">Each party will keep the other’s non-public business information confidential.</w:t>
      </w:r>
    </w:p>
    <w:p>
      <w:pPr>
        <w:spacing w:after="140" w:line="276"/>
      </w:pPr>
      <w:r>
        <w:rPr>
          <w:rFonts w:ascii="Calibri" w:cs="Calibri" w:eastAsia="Calibri" w:hAnsi="Calibri"/>
          <w:color w:val="1A1A1A"/>
          <w:sz w:val="21"/>
          <w:szCs w:val="21"/>
        </w:rPr>
        <w:t xml:space="preserve">The Client acknowledges that DentaScale is engaged for advertising services and is not engaged to receive, create, or maintain protected health information. The Client will not provide DentaScale with patient clinical records. Where lead contact details are handled, DentaScale will use reasonable safeguards to protect them.</w:t>
      </w:r>
    </w:p>
    <w:p>
      <w:pPr>
        <w:pStyle w:val="Heading1"/>
        <w:spacing w:after="160" w:before="360"/>
      </w:pPr>
      <w:r>
        <w:rPr>
          <w:rFonts w:ascii="Calibri" w:cs="Calibri" w:eastAsia="Calibri" w:hAnsi="Calibri"/>
          <w:b/>
          <w:bCs/>
          <w:color w:val="1A1A1A"/>
          <w:sz w:val="26"/>
          <w:szCs w:val="26"/>
        </w:rPr>
        <w:t xml:space="preserve">9. Limitation of liability</w:t>
      </w:r>
    </w:p>
    <w:p>
      <w:pPr>
        <w:spacing w:after="140" w:line="276"/>
      </w:pPr>
      <w:r>
        <w:rPr>
          <w:rFonts w:ascii="Calibri" w:cs="Calibri" w:eastAsia="Calibri" w:hAnsi="Calibri"/>
          <w:color w:val="1A1A1A"/>
          <w:sz w:val="21"/>
          <w:szCs w:val="21"/>
        </w:rPr>
        <w:t xml:space="preserve">DentaScale’s total liability under this Agreement is limited to the fees paid by the Client in the three months preceding the event giving rise to the claim. Neither party is liable for indirect or consequential losses, including lost profits.</w:t>
      </w:r>
    </w:p>
    <w:p>
      <w:pPr>
        <w:spacing w:after="140" w:line="276"/>
      </w:pPr>
      <w:r>
        <w:rPr>
          <w:rFonts w:ascii="Calibri" w:cs="Calibri" w:eastAsia="Calibri" w:hAnsi="Calibri"/>
          <w:color w:val="1A1A1A"/>
          <w:sz w:val="21"/>
          <w:szCs w:val="21"/>
        </w:rPr>
        <w:t xml:space="preserve">Advertising platforms may reject ads, suspend accounts, or change policies for reasons outside DentaScale’s control. DentaScale is not liable for such actions but will work in good faith to resolve them.</w:t>
      </w:r>
    </w:p>
    <w:p>
      <w:pPr>
        <w:pStyle w:val="Heading1"/>
        <w:spacing w:after="160" w:before="360"/>
      </w:pPr>
      <w:r>
        <w:rPr>
          <w:rFonts w:ascii="Calibri" w:cs="Calibri" w:eastAsia="Calibri" w:hAnsi="Calibri"/>
          <w:b/>
          <w:bCs/>
          <w:color w:val="1A1A1A"/>
          <w:sz w:val="26"/>
          <w:szCs w:val="26"/>
        </w:rPr>
        <w:t xml:space="preserve">10. General</w:t>
      </w:r>
    </w:p>
    <w:p>
      <w:pPr>
        <w:spacing w:after="140" w:line="276"/>
      </w:pPr>
      <w:r>
        <w:rPr>
          <w:rFonts w:ascii="Calibri" w:cs="Calibri" w:eastAsia="Calibri" w:hAnsi="Calibri"/>
          <w:color w:val="1A1A1A"/>
          <w:sz w:val="21"/>
          <w:szCs w:val="21"/>
        </w:rPr>
        <w:t xml:space="preserve">This Agreement is governed by the laws of the State of California. It represents the entire agreement between the parties and may only be amended in writing. Neither party may assign it without the other’s consent.</w:t>
      </w:r>
    </w:p>
    <w:p>
      <w:pPr>
        <w:pBdr>
          <w:bottom w:val="single" w:color="CCCCCC" w:sz="6" w:space="6"/>
        </w:pBdr>
        <w:spacing w:after="200" w:before="200"/>
      </w:pPr>
      <w:r>
        <w:rPr>
          <w:sz w:val="2"/>
          <w:szCs w:val="2"/>
        </w:rPr>
        <w:t xml:space="preserve"/>
      </w:r>
    </w:p>
    <w:p>
      <w:pPr>
        <w:pStyle w:val="Heading1"/>
        <w:spacing w:after="160" w:before="360"/>
      </w:pPr>
      <w:r>
        <w:rPr>
          <w:rFonts w:ascii="Calibri" w:cs="Calibri" w:eastAsia="Calibri" w:hAnsi="Calibri"/>
          <w:b/>
          <w:bCs/>
          <w:color w:val="1A1A1A"/>
          <w:sz w:val="26"/>
          <w:szCs w:val="26"/>
        </w:rPr>
        <w:t xml:space="preserve">Signatures</w:t>
      </w:r>
    </w:p>
    <w:p>
      <w:pPr>
        <w:spacing w:after="260" w:line="276"/>
      </w:pPr>
      <w:r>
        <w:rPr>
          <w:rFonts w:ascii="Calibri" w:cs="Calibri" w:eastAsia="Calibri" w:hAnsi="Calibri"/>
          <w:color w:val="1A1A1A"/>
          <w:sz w:val="21"/>
          <w:szCs w:val="21"/>
        </w:rPr>
        <w:t xml:space="preserve">Campaign start date:  ______________________</w:t>
      </w:r>
    </w:p>
    <w:p>
      <w:pPr>
        <w:spacing w:after="160" w:line="276"/>
      </w:pPr>
      <w:r>
        <w:rPr>
          <w:rFonts w:ascii="Calibri" w:cs="Calibri" w:eastAsia="Calibri" w:hAnsi="Calibri"/>
          <w:b/>
          <w:bCs/>
          <w:color w:val="1A1A1A"/>
          <w:sz w:val="21"/>
          <w:szCs w:val="21"/>
        </w:rPr>
        <w:t xml:space="preserve">For the Client</w:t>
      </w:r>
    </w:p>
    <w:p>
      <w:pPr>
        <w:spacing w:after="200"/>
      </w:pPr>
      <w:r>
        <w:rPr>
          <w:rFonts w:ascii="Calibri" w:cs="Calibri" w:eastAsia="Calibri" w:hAnsi="Calibri"/>
          <w:color w:val="1A1A1A"/>
          <w:sz w:val="21"/>
          <w:szCs w:val="21"/>
        </w:rPr>
        <w:t xml:space="preserve">Signature: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Name and title:  </w:t>
      </w:r>
      <w:r>
        <w:rPr>
          <w:rFonts w:ascii="Calibri" w:cs="Calibri" w:eastAsia="Calibri" w:hAnsi="Calibri"/>
          <w:color w:val="666666"/>
          <w:sz w:val="21"/>
          <w:szCs w:val="21"/>
        </w:rPr>
        <w:t xml:space="preserve">______________________________________________</w:t>
      </w:r>
    </w:p>
    <w:p>
      <w:pPr>
        <w:spacing w:after="200"/>
      </w:pPr>
      <w:r>
        <w:rPr>
          <w:rFonts w:ascii="Calibri" w:cs="Calibri" w:eastAsia="Calibri" w:hAnsi="Calibri"/>
          <w:color w:val="1A1A1A"/>
          <w:sz w:val="21"/>
          <w:szCs w:val="21"/>
        </w:rPr>
        <w:t xml:space="preserve">Date:  </w:t>
      </w:r>
      <w:r>
        <w:rPr>
          <w:rFonts w:ascii="Calibri" w:cs="Calibri" w:eastAsia="Calibri" w:hAnsi="Calibri"/>
          <w:color w:val="666666"/>
          <w:sz w:val="21"/>
          <w:szCs w:val="21"/>
        </w:rPr>
        <w:t xml:space="preserve">______________________________________________</w:t>
      </w:r>
    </w:p>
    <w:p>
      <w:pPr>
        <w:spacing w:after="160" w:line="276"/>
      </w:pPr>
      <w:r>
        <w:rPr>
          <w:rFonts w:ascii="Calibri" w:cs="Calibri" w:eastAsia="Calibri" w:hAnsi="Calibri"/>
          <w:b/>
          <w:bCs/>
          <w:color w:val="1A1A1A"/>
          <w:sz w:val="21"/>
          <w:szCs w:val="21"/>
        </w:rPr>
        <w:t xml:space="preserve">For DentaScale</w:t>
      </w:r>
    </w:p>
    <w:p>
      <w:pPr>
        <w:spacing w:after="200"/>
      </w:pPr>
      <w:r>
        <w:rPr>
          <w:rFonts w:ascii="Calibri" w:cs="Calibri" w:eastAsia="Calibri" w:hAnsi="Calibri"/>
          <w:color w:val="1A1A1A"/>
          <w:sz w:val="21"/>
          <w:szCs w:val="21"/>
        </w:rPr>
        <w:t xml:space="preserve">Signature:  </w:t>
      </w:r>
      <w:r>
        <w:rPr>
          <w:rFonts w:ascii="Calibri" w:cs="Calibri" w:eastAsia="Calibri" w:hAnsi="Calibri"/>
          <w:color w:val="666666"/>
          <w:sz w:val="21"/>
          <w:szCs w:val="21"/>
        </w:rPr>
        <w:t xml:space="preserve">______________________________________________</w:t>
      </w:r>
    </w:p>
    <w:p>
      <w:pPr>
        <w:spacing w:after="200" w:line="276"/>
      </w:pPr>
      <w:r>
        <w:rPr>
          <w:rFonts w:ascii="Calibri" w:cs="Calibri" w:eastAsia="Calibri" w:hAnsi="Calibri"/>
          <w:color w:val="1A1A1A"/>
          <w:sz w:val="21"/>
          <w:szCs w:val="21"/>
        </w:rPr>
        <w:t xml:space="preserve">Name and title:  Keyhan Kamelian, Founder</w:t>
      </w:r>
    </w:p>
    <w:p>
      <w:pPr>
        <w:spacing w:after="200"/>
      </w:pPr>
      <w:r>
        <w:rPr>
          <w:rFonts w:ascii="Calibri" w:cs="Calibri" w:eastAsia="Calibri" w:hAnsi="Calibri"/>
          <w:color w:val="1A1A1A"/>
          <w:sz w:val="21"/>
          <w:szCs w:val="21"/>
        </w:rPr>
        <w:t xml:space="preserve">Date:  </w:t>
      </w:r>
      <w:r>
        <w:rPr>
          <w:rFonts w:ascii="Calibri" w:cs="Calibri" w:eastAsia="Calibri" w:hAnsi="Calibri"/>
          <w:color w:val="666666"/>
          <w:sz w:val="21"/>
          <w:szCs w:val="21"/>
        </w:rPr>
        <w:t xml:space="preserve">______________________________________________</w:t>
      </w:r>
    </w:p>
    <w:p>
      <w:pPr>
        <w:spacing w:before="300"/>
      </w:pPr>
      <w:r>
        <w:rPr>
          <w:rFonts w:ascii="Calibri" w:cs="Calibri" w:eastAsia="Calibri" w:hAnsi="Calibri"/>
          <w:color w:val="666666"/>
          <w:sz w:val="17"/>
          <w:szCs w:val="17"/>
        </w:rPr>
        <w:t xml:space="preserve">DentaScale  ·  310-694-7875  ·  keyhan@dentascale.net  ·  dentascale.net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2026-09-10T18:00:00.960Z</dcterms:created>
  <dcterms:modified xsi:type="dcterms:W3CDTF">2026-09-10T18:00:00.961Z</dcterms:modified>
</cp:coreProperties>
</file>

<file path=docProps/custom.xml><?xml version="1.0" encoding="utf-8"?>
<Properties xmlns="http://schemas.openxmlformats.org/officeDocument/2006/custom-properties" xmlns:vt="http://schemas.openxmlformats.org/officeDocument/2006/docPropsVTypes"/>
</file>